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EOIP Documentation and Product Status</w:t>
      </w:r>
    </w:p>
    <w:p>
      <w:r>
        <w:t>KnowGridFlow / EOIP | 20 October 2026</w:t>
      </w:r>
    </w:p>
    <w:p>
      <w:r>
        <w:t>This manual explains the current repository's primary web application. Authenticated journeys depend on the deployed API, graph backend, worker, policy and the reader's role. The screenshots show observed local states; they do not certify the entire workflow.</w:t>
      </w:r>
    </w:p>
    <w:p>
      <w:pPr>
        <w:pStyle w:val="Heading1"/>
      </w:pPr>
      <w:r>
        <w:t>Dashboards and project status</w:t>
      </w:r>
    </w:p>
    <w:p>
      <w:r>
        <w:t>Use the application dashboards and the separate offline audit tracker without confusing their purposes.</w:t>
      </w:r>
    </w:p>
    <w:p>
      <w:r>
        <w:t>Availability: Conditional app dashboards; offline audit snapshot available</w:t>
      </w:r>
    </w:p>
    <w:p>
      <w:r>
        <w:drawing>
          <wp:inline xmlns:a="http://schemas.openxmlformats.org/drawingml/2006/main" xmlns:pic="http://schemas.openxmlformats.org/drawingml/2006/picture">
            <wp:extent cx="5943600" cy="5237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Observed screenshot: offline project audit snapshot</w:t>
      </w:r>
    </w:p>
    <w:p>
      <w:pPr>
        <w:pStyle w:val="Heading2"/>
      </w:pPr>
      <w:r>
        <w:t>Offline project audit dashboard</w:t>
      </w:r>
    </w:p>
    <w:p>
      <w:r>
        <w:t>EOIP-master-dashboard.html at the repository root is a separate project-delivery tracker, not the application analytics portal. Open it directly in a browser. Tabs cover overview, requirements, gaps, delivery, evidence, sources, architecture, checks and decisions. The file contains a point-in-time snapshot; rebuild with python scripts/build_unified_audit.py after source changes.</w:t>
      </w:r>
    </w:p>
    <w:p>
      <w:pPr/>
      <w:r>
        <w:t>1. Open the root dashboard HTML without a server.</w:t>
      </w:r>
    </w:p>
    <w:p>
      <w:pPr/>
      <w:r>
        <w:t>2. Search a requirement ID and inspect both its reported state and audit state.</w:t>
      </w:r>
    </w:p>
    <w:p>
      <w:pPr/>
      <w:r>
        <w:t>3. Use Gaps and Evidence to see closure actions and evidence limits.</w:t>
      </w:r>
    </w:p>
    <w:p>
      <w:pPr/>
      <w:r>
        <w:t>4. Export filtered CSV or local decision notes; these exports do not change acceptance.</w:t>
      </w:r>
    </w:p>
    <w:p>
      <w:pPr>
        <w:pStyle w:val="Heading2"/>
      </w:pPr>
      <w:r>
        <w:t>Interpret status honestly</w:t>
      </w:r>
    </w:p>
    <w:p>
      <w:r>
        <w:t>The current structural audit indexed thousands of requirement IDs but independently certified none in a full runtime release gate. 'Code observed' means a referenced path exists, not that the user journey works. 'Claimed accepted' preserves a historical ledger statement, not an independently verified production outcome.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EOIP self help | Verify deployment behavior before relying on a feature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B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