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MFS PCI DSS Compliance Report</w:t>
      </w:r>
    </w:p>
    <w:p>
      <w:r>
        <w:t>Meridian Financial Services — Q3 2026 Assessment</w:t>
      </w:r>
    </w:p>
    <w:p>
      <w:pPr>
        <w:pStyle w:val="Heading1"/>
      </w:pPr>
      <w:r>
        <w:t>Executive Summary</w:t>
      </w:r>
    </w:p>
    <w:p>
      <w:r>
        <w:t>This report summarizes PCI DSS v4.0 compliance status for the MFS Payment Gateway platform. Overall compliance: 94% of controls satisfied. 6 controls require remediation before the Q4 2026 assessment deadline.</w:t>
      </w:r>
    </w:p>
    <w:p>
      <w:pPr>
        <w:pStyle w:val="Heading1"/>
      </w:pPr>
      <w:r>
        <w:t>Requirement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1. Network Security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Firewall rules, network segmentation verified</w:t>
            </w:r>
          </w:p>
        </w:tc>
      </w:tr>
      <w:tr>
        <w:tc>
          <w:tcPr>
            <w:tcW w:type="dxa" w:w="2880"/>
          </w:tcPr>
          <w:p>
            <w:r>
              <w:t>2. Default Passwords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 default credentials in production</w:t>
            </w:r>
          </w:p>
        </w:tc>
      </w:tr>
      <w:tr>
        <w:tc>
          <w:tcPr>
            <w:tcW w:type="dxa" w:w="2880"/>
          </w:tcPr>
          <w:p>
            <w:r>
              <w:t>3. Protect Stored Data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AES-256 encryption at rest for PAN data</w:t>
            </w:r>
          </w:p>
        </w:tc>
      </w:tr>
      <w:tr>
        <w:tc>
          <w:tcPr>
            <w:tcW w:type="dxa" w:w="2880"/>
          </w:tcPr>
          <w:p>
            <w:r>
              <w:t>4. Encrypt Transmission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TLS 1.3 for all in-transit data</w:t>
            </w:r>
          </w:p>
        </w:tc>
      </w:tr>
      <w:tr>
        <w:tc>
          <w:tcPr>
            <w:tcW w:type="dxa" w:w="2880"/>
          </w:tcPr>
          <w:p>
            <w:r>
              <w:t>5. Anti-Virus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CrowdStrike deployed on all nodes</w:t>
            </w:r>
          </w:p>
        </w:tc>
      </w:tr>
      <w:tr>
        <w:tc>
          <w:tcPr>
            <w:tcW w:type="dxa" w:w="2880"/>
          </w:tcPr>
          <w:p>
            <w:r>
              <w:t>6. Secure Systems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2 pods missing latest security patches</w:t>
            </w:r>
          </w:p>
        </w:tc>
      </w:tr>
      <w:tr>
        <w:tc>
          <w:tcPr>
            <w:tcW w:type="dxa" w:w="2880"/>
          </w:tcPr>
          <w:p>
            <w:r>
              <w:t>7. Access Control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RBAC with least-privilege service accounts</w:t>
            </w:r>
          </w:p>
        </w:tc>
      </w:tr>
      <w:tr>
        <w:tc>
          <w:tcPr>
            <w:tcW w:type="dxa" w:w="2880"/>
          </w:tcPr>
          <w:p>
            <w:r>
              <w:t>8. Unique IDs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Individual service accounts per service</w:t>
            </w:r>
          </w:p>
        </w:tc>
      </w:tr>
      <w:tr>
        <w:tc>
          <w:tcPr>
            <w:tcW w:type="dxa" w:w="2880"/>
          </w:tcPr>
          <w:p>
            <w:r>
              <w:t>9. Physical Access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Cloud provider controls verified</w:t>
            </w:r>
          </w:p>
        </w:tc>
      </w:tr>
      <w:tr>
        <w:tc>
          <w:tcPr>
            <w:tcW w:type="dxa" w:w="2880"/>
          </w:tcPr>
          <w:p>
            <w:r>
              <w:t>10. Logging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Audit log retention needs extension to 12 months</w:t>
            </w:r>
          </w:p>
        </w:tc>
      </w:tr>
      <w:tr>
        <w:tc>
          <w:tcPr>
            <w:tcW w:type="dxa" w:w="2880"/>
          </w:tcPr>
          <w:p>
            <w:r>
              <w:t>11. Security Testing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Quarterly penetration testing completed</w:t>
            </w:r>
          </w:p>
        </w:tc>
      </w:tr>
      <w:tr>
        <w:tc>
          <w:tcPr>
            <w:tcW w:type="dxa" w:w="2880"/>
          </w:tcPr>
          <w:p>
            <w:r>
              <w:t>12. Security Policy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Information security policy reviewed and updated</w:t>
            </w:r>
          </w:p>
        </w:tc>
      </w:tr>
    </w:tbl>
    <w:p>
      <w:pPr>
        <w:pStyle w:val="Heading1"/>
      </w:pPr>
      <w:r>
        <w:t>Remediation Items</w:t>
      </w:r>
    </w:p>
    <w:p>
      <w:pPr>
        <w:pStyle w:val="ListNumber"/>
      </w:pPr>
      <w:r>
        <w:t>REQ-6: Apply security patches to mfs-pay-pod-02 and mfs-pay-pod-03</w:t>
      </w:r>
    </w:p>
    <w:p>
      <w:pPr>
        <w:pStyle w:val="ListNumber"/>
      </w:pPr>
      <w:r>
        <w:t>REQ-10: Extend Kibana audit log retention from 90 days to 365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