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MFS Payment Gateway Architecture v2</w:t>
      </w:r>
    </w:p>
    <w:p>
      <w:pPr>
        <w:jc w:val="center"/>
      </w:pPr>
      <w:r>
        <w:rPr>
          <w:i/>
        </w:rPr>
        <w:t>Meridian Financial Services — Confidential</w:t>
      </w:r>
    </w:p>
    <w:p>
      <w:pPr>
        <w:pStyle w:val="Heading1"/>
      </w:pPr>
      <w:r>
        <w:t>1. Overview</w:t>
      </w:r>
    </w:p>
    <w:p>
      <w:r>
        <w:t>The MFS Payment Gateway v2 is the core payment processing platform for Meridian Financial Services. It handles payment authorization, tokenization, settlement, and merchant webhook notifications. The platform processes approximately 2.5 million transactions daily with a 99.95% availability SLO.</w:t>
      </w:r>
    </w:p>
    <w:p>
      <w:pPr>
        <w:pStyle w:val="Heading1"/>
      </w:pPr>
      <w:r>
        <w:t>2. Infrastructure Topology</w:t>
      </w:r>
    </w:p>
    <w:p>
      <w:pPr>
        <w:pStyle w:val="Heading2"/>
      </w:pPr>
      <w:r>
        <w:t>2.1 OpenShift Pods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Pod</w:t>
            </w:r>
          </w:p>
        </w:tc>
        <w:tc>
          <w:tcPr>
            <w:tcW w:type="dxa" w:w="2160"/>
          </w:tcPr>
          <w:p>
            <w:r>
              <w:t>Namespace</w:t>
            </w:r>
          </w:p>
        </w:tc>
        <w:tc>
          <w:tcPr>
            <w:tcW w:type="dxa" w:w="2160"/>
          </w:tcPr>
          <w:p>
            <w:r>
              <w:t>Replicas</w:t>
            </w:r>
          </w:p>
        </w:tc>
        <w:tc>
          <w:tcPr>
            <w:tcW w:type="dxa" w:w="2160"/>
          </w:tcPr>
          <w:p>
            <w:r>
              <w:t>Services</w:t>
            </w:r>
          </w:p>
        </w:tc>
      </w:tr>
      <w:tr>
        <w:tc>
          <w:tcPr>
            <w:tcW w:type="dxa" w:w="2160"/>
          </w:tcPr>
          <w:p>
            <w:r>
              <w:t>mfs-pay-pod-01</w:t>
            </w:r>
          </w:p>
        </w:tc>
        <w:tc>
          <w:tcPr>
            <w:tcW w:type="dxa" w:w="2160"/>
          </w:tcPr>
          <w:p>
            <w:r>
              <w:t>mfs-payments</w:t>
            </w:r>
          </w:p>
        </w:tc>
        <w:tc>
          <w:tcPr>
            <w:tcW w:type="dxa" w:w="2160"/>
          </w:tcPr>
          <w:p>
            <w:r>
              <w:t>4</w:t>
            </w:r>
          </w:p>
        </w:tc>
        <w:tc>
          <w:tcPr>
            <w:tcW w:type="dxa" w:w="2160"/>
          </w:tcPr>
          <w:p>
            <w:r>
              <w:t>Payment processing, tokenization, webhook</w:t>
            </w:r>
          </w:p>
        </w:tc>
      </w:tr>
      <w:tr>
        <w:tc>
          <w:tcPr>
            <w:tcW w:type="dxa" w:w="2160"/>
          </w:tcPr>
          <w:p>
            <w:r>
              <w:t>mfs-pay-pod-02</w:t>
            </w:r>
          </w:p>
        </w:tc>
        <w:tc>
          <w:tcPr>
            <w:tcW w:type="dxa" w:w="2160"/>
          </w:tcPr>
          <w:p>
            <w:r>
              <w:t>mfs-payments</w:t>
            </w:r>
          </w:p>
        </w:tc>
        <w:tc>
          <w:tcPr>
            <w:tcW w:type="dxa" w:w="2160"/>
          </w:tcPr>
          <w:p>
            <w:r>
              <w:t>2</w:t>
            </w:r>
          </w:p>
        </w:tc>
        <w:tc>
          <w:tcPr>
            <w:tcW w:type="dxa" w:w="2160"/>
          </w:tcPr>
          <w:p>
            <w:r>
              <w:t>Payment processing (secondary)</w:t>
            </w:r>
          </w:p>
        </w:tc>
      </w:tr>
      <w:tr>
        <w:tc>
          <w:tcPr>
            <w:tcW w:type="dxa" w:w="2160"/>
          </w:tcPr>
          <w:p>
            <w:r>
              <w:t>mfs-pay-pod-03</w:t>
            </w:r>
          </w:p>
        </w:tc>
        <w:tc>
          <w:tcPr>
            <w:tcW w:type="dxa" w:w="2160"/>
          </w:tcPr>
          <w:p>
            <w:r>
              <w:t>mfs-payments</w:t>
            </w:r>
          </w:p>
        </w:tc>
        <w:tc>
          <w:tcPr>
            <w:tcW w:type="dxa" w:w="2160"/>
          </w:tcPr>
          <w:p>
            <w:r>
              <w:t>2</w:t>
            </w:r>
          </w:p>
        </w:tc>
        <w:tc>
          <w:tcPr>
            <w:tcW w:type="dxa" w:w="2160"/>
          </w:tcPr>
          <w:p>
            <w:r>
              <w:t>Analytics, settlement processing</w:t>
            </w:r>
          </w:p>
        </w:tc>
      </w:tr>
    </w:tbl>
    <w:p>
      <w:pPr>
        <w:pStyle w:val="Heading2"/>
      </w:pPr>
      <w:r>
        <w:t>2.2 Databases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Host</w:t>
            </w:r>
          </w:p>
        </w:tc>
        <w:tc>
          <w:tcPr>
            <w:tcW w:type="dxa" w:w="2160"/>
          </w:tcPr>
          <w:p>
            <w:r>
              <w:t>Database</w:t>
            </w:r>
          </w:p>
        </w:tc>
        <w:tc>
          <w:tcPr>
            <w:tcW w:type="dxa" w:w="2160"/>
          </w:tcPr>
          <w:p>
            <w:r>
              <w:t>Service Account</w:t>
            </w:r>
          </w:p>
        </w:tc>
        <w:tc>
          <w:tcPr>
            <w:tcW w:type="dxa" w:w="2160"/>
          </w:tcPr>
          <w:p>
            <w:r>
              <w:t>Purpose</w:t>
            </w:r>
          </w:p>
        </w:tc>
      </w:tr>
      <w:tr>
        <w:tc>
          <w:tcPr>
            <w:tcW w:type="dxa" w:w="2160"/>
          </w:tcPr>
          <w:p>
            <w:r>
              <w:t>pghost-prod-01.mfs.internal</w:t>
            </w:r>
          </w:p>
        </w:tc>
        <w:tc>
          <w:tcPr>
            <w:tcW w:type="dxa" w:w="2160"/>
          </w:tcPr>
          <w:p>
            <w:r>
              <w:t>mfs_payments_db</w:t>
            </w:r>
          </w:p>
        </w:tc>
        <w:tc>
          <w:tcPr>
            <w:tcW w:type="dxa" w:w="2160"/>
          </w:tcPr>
          <w:p>
            <w:r>
              <w:t>svc-payment-api</w:t>
            </w:r>
          </w:p>
        </w:tc>
        <w:tc>
          <w:tcPr>
            <w:tcW w:type="dxa" w:w="2160"/>
          </w:tcPr>
          <w:p>
            <w:r>
              <w:t>Payment transactions</w:t>
            </w:r>
          </w:p>
        </w:tc>
      </w:tr>
      <w:tr>
        <w:tc>
          <w:tcPr>
            <w:tcW w:type="dxa" w:w="2160"/>
          </w:tcPr>
          <w:p>
            <w:r>
              <w:t>pghost-prod-03.mfs.internal</w:t>
            </w:r>
          </w:p>
        </w:tc>
        <w:tc>
          <w:tcPr>
            <w:tcW w:type="dxa" w:w="2160"/>
          </w:tcPr>
          <w:p>
            <w:r>
              <w:t>mfs_audit_db</w:t>
            </w:r>
          </w:p>
        </w:tc>
        <w:tc>
          <w:tcPr>
            <w:tcW w:type="dxa" w:w="2160"/>
          </w:tcPr>
          <w:p>
            <w:r>
              <w:t>svc-payment-api</w:t>
            </w:r>
          </w:p>
        </w:tc>
        <w:tc>
          <w:tcPr>
            <w:tcW w:type="dxa" w:w="2160"/>
          </w:tcPr>
          <w:p>
            <w:r>
              <w:t>Audit and compliance logs</w:t>
            </w:r>
          </w:p>
        </w:tc>
      </w:tr>
    </w:tbl>
    <w:p>
      <w:pPr>
        <w:pStyle w:val="Heading2"/>
      </w:pPr>
      <w:r>
        <w:t>2.3 Service Accounts</w:t>
      </w:r>
    </w:p>
    <w:p>
      <w:pPr>
        <w:pStyle w:val="ListBullet"/>
      </w:pPr>
      <w:r>
        <w:t>svc-payment-api</w:t>
      </w:r>
    </w:p>
    <w:p>
      <w:pPr>
        <w:pStyle w:val="ListBullet"/>
      </w:pPr>
      <w:r>
        <w:t>svc-token-vault</w:t>
      </w:r>
    </w:p>
    <w:p>
      <w:pPr>
        <w:pStyle w:val="ListBullet"/>
      </w:pPr>
      <w:r>
        <w:t>svc-webhook-dispatch</w:t>
      </w:r>
    </w:p>
    <w:p>
      <w:pPr>
        <w:pStyle w:val="ListBullet"/>
      </w:pPr>
      <w:r>
        <w:t>svc-analytics</w:t>
      </w:r>
    </w:p>
    <w:p>
      <w:pPr>
        <w:pStyle w:val="Heading1"/>
      </w:pPr>
      <w:r>
        <w:t>3. Key Tables</w:t>
      </w:r>
    </w:p>
    <w:p>
      <w:r>
        <w:t>payments, payment_methods, tokens, idempotency_keys, webhook_registrations, webhook_delivery_log, webhook_dlq, analytics_aggregates, settlement_batches, reconciliation_records</w:t>
      </w:r>
    </w:p>
    <w:p>
      <w:pPr>
        <w:pStyle w:val="Heading1"/>
      </w:pPr>
      <w:r>
        <w:t>4. External Dependencies</w:t>
      </w:r>
    </w:p>
    <w:p>
      <w:pPr>
        <w:pStyle w:val="ListBullet"/>
      </w:pPr>
      <w:r>
        <w:t>hsm-gateway.mfs.internal:8443 — Hardware Security Module (tokenization)</w:t>
      </w:r>
    </w:p>
    <w:p>
      <w:pPr>
        <w:pStyle w:val="ListBullet"/>
      </w:pPr>
      <w:r>
        <w:t>vault.mfs.internal — HashiCorp Vault (secrets management)</w:t>
      </w:r>
    </w:p>
    <w:p>
      <w:pPr>
        <w:pStyle w:val="ListBullet"/>
      </w:pPr>
      <w:r>
        <w:t>redis-cluster.mfs.internal — Redis (idempotency cache, rate limiting)</w:t>
      </w:r>
    </w:p>
    <w:p>
      <w:pPr>
        <w:pStyle w:val="ListBullet"/>
      </w:pPr>
      <w:r>
        <w:t>kafka-broker.mfs.internal:9092 — Kafka (event streaming)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