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visual-observability-platform"/>
    <w:p>
      <w:pPr>
        <w:pStyle w:val="Heading1"/>
      </w:pPr>
      <w:r>
        <w:t xml:space="preserve">Visual Observability Platform</w:t>
      </w:r>
    </w:p>
    <w:p>
      <w:pPr>
        <w:pStyle w:val="FirstParagraph"/>
      </w:pPr>
      <w:r>
        <w:rPr>
          <w:b/>
          <w:bCs/>
        </w:rPr>
        <w:t xml:space="preserve">Software Requirements Specification (SRS)</w:t>
      </w:r>
      <w:r>
        <w:br/>
      </w:r>
      <w:r>
        <w:rPr>
          <w:b/>
          <w:bCs/>
        </w:rPr>
        <w:t xml:space="preserve">Version:</w:t>
      </w:r>
      <w:r>
        <w:t xml:space="preserve"> </w:t>
      </w:r>
      <w:r>
        <w:t xml:space="preserve">0.2 — Codex-ready specification baseline</w:t>
      </w:r>
      <w:r>
        <w:br/>
      </w:r>
      <w:r>
        <w:rPr>
          <w:b/>
          <w:bCs/>
        </w:rPr>
        <w:t xml:space="preserve">Date:</w:t>
      </w:r>
      <w:r>
        <w:t xml:space="preserve"> </w:t>
      </w:r>
      <w:r>
        <w:t xml:space="preserve">13 October 2026</w:t>
      </w:r>
      <w:r>
        <w:br/>
      </w:r>
      <w:r>
        <w:rPr>
          <w:b/>
          <w:bCs/>
        </w:rPr>
        <w:t xml:space="preserve">Status:</w:t>
      </w:r>
      <w:r>
        <w:t xml:space="preserve"> </w:t>
      </w:r>
      <w:r>
        <w:t xml:space="preserve">Reviewed for Phase 0 implementation; full MVP remains a planned, unimplemented scope</w:t>
      </w:r>
      <w:r>
        <w:br/>
      </w:r>
      <w:r>
        <w:rPr>
          <w:b/>
          <w:bCs/>
        </w:rPr>
        <w:t xml:space="preserve">Product name:</w:t>
      </w:r>
      <w:r>
        <w:t xml:space="preserve"> </w:t>
      </w:r>
      <w:r>
        <w:t xml:space="preserve">Working title; not a branding decision</w:t>
      </w:r>
      <w:r>
        <w:br/>
      </w:r>
      <w:r>
        <w:rPr>
          <w:b/>
          <w:bCs/>
        </w:rPr>
        <w:t xml:space="preserve">Deployment philosophy:</w:t>
      </w:r>
      <w:r>
        <w:t xml:space="preserve"> </w:t>
      </w:r>
      <w:r>
        <w:t xml:space="preserve">Local-first, modular, privacy-by-design</w:t>
      </w:r>
      <w:r>
        <w:br/>
      </w:r>
      <w:r>
        <w:rPr>
          <w:b/>
          <w:bCs/>
        </w:rPr>
        <w:t xml:space="preserve">Primary audience:</w:t>
      </w:r>
      <w:r>
        <w:t xml:space="preserve"> </w:t>
      </w:r>
      <w:r>
        <w:t xml:space="preserve">Product owner, implementers, testers, security and information-governance reviewers</w:t>
      </w:r>
    </w:p>
    <w:p>
      <w:pPr>
        <w:pStyle w:val="BlockText"/>
      </w:pPr>
      <w:r>
        <w:rPr>
          <w:b/>
          <w:bCs/>
        </w:rPr>
        <w:t xml:space="preserve">Document status.</w:t>
      </w:r>
      <w:r>
        <w:t xml:space="preserve"> </w:t>
      </w:r>
      <w:r>
        <w:t xml:space="preserve">This is a development baseline, not proof that the proposed product, model combinations, camera integrations or workplace deployments have been validated. Requirements labelled</w:t>
      </w:r>
      <w:r>
        <w:t xml:space="preserve"> </w:t>
      </w:r>
      <w:r>
        <w:rPr>
          <w:b/>
          <w:bCs/>
        </w:rPr>
        <w:t xml:space="preserve">MVP</w:t>
      </w:r>
      <w:r>
        <w:t xml:space="preserve"> </w:t>
      </w:r>
      <w:r>
        <w:t xml:space="preserve">establish the initial delivery scope;</w:t>
      </w:r>
      <w:r>
        <w:t xml:space="preserve"> </w:t>
      </w:r>
      <w:r>
        <w:rPr>
          <w:b/>
          <w:bCs/>
        </w:rPr>
        <w:t xml:space="preserve">Later</w:t>
      </w:r>
      <w:r>
        <w:t xml:space="preserve"> </w:t>
      </w:r>
      <w:r>
        <w:t xml:space="preserve">requirements establish intended extension points. Formal approval, accuracy testing and any applicable DPIA remain separate activities.</w:t>
      </w:r>
      <w:r>
        <w:t xml:space="preserve"> </w:t>
      </w:r>
      <w:r>
        <w:rPr>
          <w:b/>
          <w:bCs/>
        </w:rPr>
        <w:t xml:space="preserve">For the immediate coding task,</w:t>
      </w:r>
      <w:r>
        <w:rPr>
          <w:b/>
          <w:bCs/>
        </w:rPr>
        <w:t xml:space="preserve"> </w:t>
      </w:r>
      <w:r>
        <w:rPr>
          <w:rStyle w:val="VerbatimChar"/>
          <w:b/>
          <w:bCs/>
        </w:rPr>
        <w:t xml:space="preserve">CODEX_PHASE_0.md</w:t>
      </w:r>
      <w:r>
        <w:rPr>
          <w:b/>
          <w:bCs/>
        </w:rPr>
        <w:t xml:space="preserve"> </w:t>
      </w:r>
      <w:r>
        <w:rPr>
          <w:b/>
          <w:bCs/>
        </w:rPr>
        <w:t xml:space="preserve">is the controlling scope and exit-gate contract. Phase 0 is a small feasibility study, not delivery of the MVP.</w:t>
      </w:r>
    </w:p>
    <w:bookmarkStart w:id="20"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2016"/>
        <w:gridCol w:w="7517"/>
      </w:tblGrid>
      <w:tr>
        <w:trPr>
          <w:tblHeader w:val="on"/>
          <w:tblHeader w:val="true"/>
        </w:trPr>
        <w:tc>
          <w:tcPr>
            <w:tcW w:type="dxa" w:w="2016"/>
            <w:vAlign w:val="center"/>
          </w:tcPr>
          <w:p>
            <w:pPr>
              <w:pStyle w:val="Compact"/>
              <w:spacing w:after="20" w:before="0"/>
              <w:jc w:val="left"/>
            </w:pPr>
            <w:r>
              <w:rPr>
                <w:b/>
                <w:sz w:val="16"/>
              </w:rPr>
              <w:t xml:space="preserve">Item</w:t>
            </w:r>
          </w:p>
        </w:tc>
        <w:tc>
          <w:tcPr>
            <w:tcW w:type="dxa" w:w="7517"/>
            <w:vAlign w:val="center"/>
          </w:tcPr>
          <w:p>
            <w:pPr>
              <w:pStyle w:val="Compact"/>
              <w:spacing w:after="20" w:before="0"/>
              <w:jc w:val="left"/>
            </w:pPr>
            <w:r>
              <w:rPr>
                <w:b/>
                <w:sz w:val="16"/>
              </w:rPr>
              <w:t xml:space="preserve">Value</w:t>
            </w:r>
          </w:p>
        </w:tc>
      </w:tr>
      <w:tr>
        <w:tc>
          <w:tcPr>
            <w:tcW w:type="dxa" w:w="2016"/>
            <w:vAlign w:val="center"/>
          </w:tcPr>
          <w:p>
            <w:pPr>
              <w:pStyle w:val="Compact"/>
              <w:spacing w:after="20" w:before="0"/>
              <w:jc w:val="left"/>
            </w:pPr>
            <w:r>
              <w:rPr>
                <w:sz w:val="16"/>
              </w:rPr>
              <w:t xml:space="preserve">Document ID</w:t>
            </w:r>
          </w:p>
        </w:tc>
        <w:tc>
          <w:tcPr>
            <w:tcW w:type="dxa" w:w="7517"/>
            <w:vAlign w:val="center"/>
          </w:tcPr>
          <w:p>
            <w:pPr>
              <w:pStyle w:val="Compact"/>
              <w:spacing w:after="20" w:before="0"/>
              <w:jc w:val="left"/>
            </w:pPr>
            <w:r>
              <w:rPr>
                <w:sz w:val="16"/>
              </w:rPr>
              <w:t xml:space="preserve">VOP-SRS-001</w:t>
            </w:r>
          </w:p>
        </w:tc>
      </w:tr>
      <w:tr>
        <w:tc>
          <w:tcPr>
            <w:tcW w:type="dxa" w:w="2016"/>
            <w:vAlign w:val="center"/>
          </w:tcPr>
          <w:p>
            <w:pPr>
              <w:pStyle w:val="Compact"/>
              <w:spacing w:after="20" w:before="0"/>
              <w:jc w:val="left"/>
            </w:pPr>
            <w:r>
              <w:rPr>
                <w:sz w:val="16"/>
              </w:rPr>
              <w:t xml:space="preserve">Revision</w:t>
            </w:r>
          </w:p>
        </w:tc>
        <w:tc>
          <w:tcPr>
            <w:tcW w:type="dxa" w:w="7517"/>
            <w:vAlign w:val="center"/>
          </w:tcPr>
          <w:p>
            <w:pPr>
              <w:pStyle w:val="Compact"/>
              <w:spacing w:after="20" w:before="0"/>
              <w:jc w:val="left"/>
            </w:pPr>
            <w:r>
              <w:rPr>
                <w:sz w:val="16"/>
              </w:rPr>
              <w:t xml:space="preserve">0.2</w:t>
            </w:r>
          </w:p>
        </w:tc>
      </w:tr>
      <w:tr>
        <w:tc>
          <w:tcPr>
            <w:tcW w:type="dxa" w:w="2016"/>
            <w:vAlign w:val="center"/>
          </w:tcPr>
          <w:p>
            <w:pPr>
              <w:pStyle w:val="Compact"/>
              <w:spacing w:after="20" w:before="0"/>
              <w:jc w:val="left"/>
            </w:pPr>
            <w:r>
              <w:rPr>
                <w:sz w:val="16"/>
              </w:rPr>
              <w:t xml:space="preserve">Classification</w:t>
            </w:r>
          </w:p>
        </w:tc>
        <w:tc>
          <w:tcPr>
            <w:tcW w:type="dxa" w:w="7517"/>
            <w:vAlign w:val="center"/>
          </w:tcPr>
          <w:p>
            <w:pPr>
              <w:pStyle w:val="Compact"/>
              <w:spacing w:after="20" w:before="0"/>
              <w:jc w:val="left"/>
            </w:pPr>
            <w:r>
              <w:rPr>
                <w:sz w:val="16"/>
              </w:rPr>
              <w:t xml:space="preserve">Design proposal with executable Phase 0 companion contract; not operational policy</w:t>
            </w:r>
          </w:p>
        </w:tc>
      </w:tr>
      <w:tr>
        <w:tc>
          <w:tcPr>
            <w:tcW w:type="dxa" w:w="2016"/>
            <w:vAlign w:val="center"/>
          </w:tcPr>
          <w:p>
            <w:pPr>
              <w:pStyle w:val="Compact"/>
              <w:spacing w:after="20" w:before="0"/>
              <w:jc w:val="left"/>
            </w:pPr>
            <w:r>
              <w:rPr>
                <w:sz w:val="16"/>
              </w:rPr>
              <w:t xml:space="preserve">Authoring basis</w:t>
            </w:r>
          </w:p>
        </w:tc>
        <w:tc>
          <w:tcPr>
            <w:tcW w:type="dxa" w:w="7517"/>
            <w:vAlign w:val="center"/>
          </w:tcPr>
          <w:p>
            <w:pPr>
              <w:pStyle w:val="Compact"/>
              <w:spacing w:after="20" w:before="0"/>
              <w:jc w:val="left"/>
            </w:pPr>
            <w:r>
              <w:rPr>
                <w:sz w:val="16"/>
              </w:rPr>
              <w:t xml:space="preserve">Product discussion through 13 October 2026, plus sources in §18</w:t>
            </w:r>
          </w:p>
        </w:tc>
      </w:tr>
      <w:tr>
        <w:tc>
          <w:tcPr>
            <w:tcW w:type="dxa" w:w="2016"/>
            <w:vAlign w:val="center"/>
          </w:tcPr>
          <w:p>
            <w:pPr>
              <w:pStyle w:val="Compact"/>
              <w:spacing w:after="20" w:before="0"/>
              <w:jc w:val="left"/>
            </w:pPr>
            <w:r>
              <w:rPr>
                <w:sz w:val="16"/>
              </w:rPr>
              <w:t xml:space="preserve">Intended source of truth</w:t>
            </w:r>
          </w:p>
        </w:tc>
        <w:tc>
          <w:tcPr>
            <w:tcW w:type="dxa" w:w="7517"/>
            <w:vAlign w:val="center"/>
          </w:tcPr>
          <w:p>
            <w:pPr>
              <w:pStyle w:val="Compact"/>
              <w:spacing w:after="20" w:before="0"/>
              <w:jc w:val="left"/>
            </w:pPr>
            <w:r>
              <w:rPr>
                <w:sz w:val="16"/>
              </w:rPr>
              <w:t xml:space="preserve">This Markdown file in version control;</w:t>
            </w:r>
            <w:r>
              <w:rPr>
                <w:sz w:val="16"/>
              </w:rPr>
              <w:t xml:space="preserve"> </w:t>
            </w:r>
            <w:r>
              <w:rPr>
                <w:rStyle w:val="VerbatimChar"/>
                <w:sz w:val="16"/>
              </w:rPr>
              <w:t xml:space="preserve">.docx</w:t>
            </w:r>
            <w:r>
              <w:rPr>
                <w:sz w:val="16"/>
              </w:rPr>
              <w:t xml:space="preserve"> </w:t>
            </w:r>
            <w:r>
              <w:rPr>
                <w:sz w:val="16"/>
              </w:rPr>
              <w:t xml:space="preserve">is an editable review edition</w:t>
            </w:r>
          </w:p>
        </w:tc>
      </w:tr>
      <w:tr>
        <w:tc>
          <w:tcPr>
            <w:tcW w:type="dxa" w:w="2016"/>
            <w:vAlign w:val="center"/>
          </w:tcPr>
          <w:p>
            <w:pPr>
              <w:pStyle w:val="Compact"/>
              <w:spacing w:after="20" w:before="0"/>
              <w:jc w:val="left"/>
            </w:pPr>
            <w:r>
              <w:rPr>
                <w:sz w:val="16"/>
              </w:rPr>
              <w:t xml:space="preserve">Change policy</w:t>
            </w:r>
          </w:p>
        </w:tc>
        <w:tc>
          <w:tcPr>
            <w:tcW w:type="dxa" w:w="7517"/>
            <w:vAlign w:val="center"/>
          </w:tcPr>
          <w:p>
            <w:pPr>
              <w:pStyle w:val="Compact"/>
              <w:spacing w:after="20" w:before="0"/>
              <w:jc w:val="left"/>
            </w:pPr>
            <w:r>
              <w:rPr>
                <w:sz w:val="16"/>
              </w:rPr>
              <w:t xml:space="preserve">Record accepted changes, affected requirement IDs and rationale in</w:t>
            </w:r>
            <w:r>
              <w:rPr>
                <w:sz w:val="16"/>
              </w:rPr>
              <w:t xml:space="preserve"> </w:t>
            </w:r>
            <w:r>
              <w:rPr>
                <w:rStyle w:val="VerbatimChar"/>
                <w:sz w:val="16"/>
              </w:rPr>
              <w:t xml:space="preserve">CHANGELOG.md</w:t>
            </w:r>
            <w:r>
              <w:rPr>
                <w:sz w:val="16"/>
              </w:rPr>
              <w:t xml:space="preserve">; see</w:t>
            </w:r>
            <w:r>
              <w:rPr>
                <w:sz w:val="16"/>
              </w:rPr>
              <w:t xml:space="preserve"> </w:t>
            </w:r>
            <w:r>
              <w:rPr>
                <w:rStyle w:val="VerbatimChar"/>
                <w:sz w:val="16"/>
              </w:rPr>
              <w:t xml:space="preserve">CODEX_PHASE_0.md</w:t>
            </w:r>
            <w:r>
              <w:rPr>
                <w:sz w:val="16"/>
              </w:rPr>
              <w:t xml:space="preserve"> </w:t>
            </w:r>
            <w:r>
              <w:rPr>
                <w:sz w:val="16"/>
              </w:rPr>
              <w:t xml:space="preserve">for the immediate task</w:t>
            </w:r>
          </w:p>
        </w:tc>
      </w:tr>
    </w:tbl>
    <w:bookmarkEnd w:id="20"/>
    <w:bookmarkStart w:id="21" w:name="contents"/>
    <w:p>
      <w:pPr>
        <w:pStyle w:val="Heading2"/>
      </w:pPr>
      <w:r>
        <w:t xml:space="preserve">Contents</w:t>
      </w:r>
    </w:p>
    <w:p>
      <w:pPr>
        <w:pStyle w:val="Compact"/>
        <w:numPr>
          <w:ilvl w:val="0"/>
          <w:numId w:val="1001"/>
        </w:numPr>
      </w:pPr>
      <w:r>
        <w:t xml:space="preserve">Executive summary</w:t>
      </w:r>
      <w:r>
        <w:br/>
      </w:r>
    </w:p>
    <w:p>
      <w:pPr>
        <w:pStyle w:val="Compact"/>
        <w:numPr>
          <w:ilvl w:val="0"/>
          <w:numId w:val="1001"/>
        </w:numPr>
      </w:pPr>
      <w:r>
        <w:t xml:space="preserve">Scope, boundaries and assumptions</w:t>
      </w:r>
      <w:r>
        <w:br/>
      </w:r>
    </w:p>
    <w:p>
      <w:pPr>
        <w:pStyle w:val="Compact"/>
        <w:numPr>
          <w:ilvl w:val="0"/>
          <w:numId w:val="1001"/>
        </w:numPr>
      </w:pPr>
      <w:r>
        <w:t xml:space="preserve">System context and users</w:t>
      </w:r>
      <w:r>
        <w:br/>
      </w:r>
    </w:p>
    <w:p>
      <w:pPr>
        <w:pStyle w:val="Compact"/>
        <w:numPr>
          <w:ilvl w:val="0"/>
          <w:numId w:val="1001"/>
        </w:numPr>
      </w:pPr>
      <w:r>
        <w:t xml:space="preserve">Functional requirements</w:t>
      </w:r>
      <w:r>
        <w:br/>
      </w:r>
    </w:p>
    <w:p>
      <w:pPr>
        <w:pStyle w:val="Compact"/>
        <w:numPr>
          <w:ilvl w:val="0"/>
          <w:numId w:val="1001"/>
        </w:numPr>
      </w:pPr>
      <w:r>
        <w:t xml:space="preserve">Non-functional requirements</w:t>
      </w:r>
      <w:r>
        <w:br/>
      </w:r>
    </w:p>
    <w:p>
      <w:pPr>
        <w:pStyle w:val="Compact"/>
        <w:numPr>
          <w:ilvl w:val="0"/>
          <w:numId w:val="1001"/>
        </w:numPr>
      </w:pPr>
      <w:r>
        <w:t xml:space="preserve">Architecture and component responsibilities</w:t>
      </w:r>
      <w:r>
        <w:br/>
      </w:r>
    </w:p>
    <w:p>
      <w:pPr>
        <w:pStyle w:val="Compact"/>
        <w:numPr>
          <w:ilvl w:val="0"/>
          <w:numId w:val="1001"/>
        </w:numPr>
      </w:pPr>
      <w:r>
        <w:t xml:space="preserve">Core information model</w:t>
      </w:r>
      <w:r>
        <w:br/>
      </w:r>
    </w:p>
    <w:p>
      <w:pPr>
        <w:pStyle w:val="Compact"/>
        <w:numPr>
          <w:ilvl w:val="0"/>
          <w:numId w:val="1001"/>
        </w:numPr>
      </w:pPr>
      <w:r>
        <w:t xml:space="preserve">Decision and measurement semantics</w:t>
      </w:r>
      <w:r>
        <w:br/>
      </w:r>
    </w:p>
    <w:p>
      <w:pPr>
        <w:pStyle w:val="Compact"/>
        <w:numPr>
          <w:ilvl w:val="0"/>
          <w:numId w:val="1001"/>
        </w:numPr>
      </w:pPr>
      <w:r>
        <w:t xml:space="preserve">Plugin interfaces and compatibility contracts</w:t>
      </w:r>
      <w:r>
        <w:br/>
      </w:r>
    </w:p>
    <w:p>
      <w:pPr>
        <w:pStyle w:val="Compact"/>
        <w:numPr>
          <w:ilvl w:val="0"/>
          <w:numId w:val="1001"/>
        </w:numPr>
      </w:pPr>
      <w:r>
        <w:t xml:space="preserve">User journeys and information architecture</w:t>
      </w:r>
      <w:r>
        <w:br/>
      </w:r>
    </w:p>
    <w:p>
      <w:pPr>
        <w:pStyle w:val="Compact"/>
        <w:numPr>
          <w:ilvl w:val="0"/>
          <w:numId w:val="1001"/>
        </w:numPr>
      </w:pPr>
      <w:r>
        <w:t xml:space="preserve">Security, privacy and governance</w:t>
      </w:r>
      <w:r>
        <w:br/>
      </w:r>
    </w:p>
    <w:p>
      <w:pPr>
        <w:pStyle w:val="Compact"/>
        <w:numPr>
          <w:ilvl w:val="0"/>
          <w:numId w:val="1001"/>
        </w:numPr>
      </w:pPr>
      <w:r>
        <w:t xml:space="preserve">Technical design choices and rationale</w:t>
      </w:r>
      <w:r>
        <w:br/>
      </w:r>
    </w:p>
    <w:p>
      <w:pPr>
        <w:pStyle w:val="Compact"/>
        <w:numPr>
          <w:ilvl w:val="0"/>
          <w:numId w:val="1001"/>
        </w:numPr>
      </w:pPr>
      <w:r>
        <w:t xml:space="preserve">API sketch and configuration example</w:t>
      </w:r>
      <w:r>
        <w:br/>
      </w:r>
    </w:p>
    <w:p>
      <w:pPr>
        <w:pStyle w:val="Compact"/>
        <w:numPr>
          <w:ilvl w:val="0"/>
          <w:numId w:val="1001"/>
        </w:numPr>
      </w:pPr>
      <w:r>
        <w:t xml:space="preserve">Verification, acceptance and traceability</w:t>
      </w:r>
      <w:r>
        <w:br/>
      </w:r>
    </w:p>
    <w:p>
      <w:pPr>
        <w:pStyle w:val="Compact"/>
        <w:numPr>
          <w:ilvl w:val="0"/>
          <w:numId w:val="1001"/>
        </w:numPr>
      </w:pPr>
      <w:r>
        <w:t xml:space="preserve">Phased implementation roadmap</w:t>
      </w:r>
      <w:r>
        <w:br/>
      </w:r>
    </w:p>
    <w:p>
      <w:pPr>
        <w:pStyle w:val="Compact"/>
        <w:numPr>
          <w:ilvl w:val="0"/>
          <w:numId w:val="1001"/>
        </w:numPr>
      </w:pPr>
      <w:r>
        <w:t xml:space="preserve">Risks and mitigations</w:t>
      </w:r>
      <w:r>
        <w:br/>
      </w:r>
    </w:p>
    <w:p>
      <w:pPr>
        <w:pStyle w:val="Compact"/>
        <w:numPr>
          <w:ilvl w:val="0"/>
          <w:numId w:val="1001"/>
        </w:numPr>
      </w:pPr>
      <w:r>
        <w:t xml:space="preserve">Open decisions and change control</w:t>
      </w:r>
      <w:r>
        <w:br/>
      </w:r>
    </w:p>
    <w:p>
      <w:pPr>
        <w:pStyle w:val="Compact"/>
        <w:numPr>
          <w:ilvl w:val="0"/>
          <w:numId w:val="1001"/>
        </w:numPr>
      </w:pPr>
      <w:r>
        <w:t xml:space="preserve">Sources and verification notes</w:t>
      </w:r>
      <w:r>
        <w:br/>
      </w:r>
      <w:r>
        <w:t xml:space="preserve">Appendix A. Phase 0 implementation handoff and acceptance hierarchy</w:t>
      </w:r>
    </w:p>
    <w:bookmarkEnd w:id="21"/>
    <w:bookmarkStart w:id="26" w:name="executive-summary"/>
    <w:p>
      <w:pPr>
        <w:pStyle w:val="Heading2"/>
      </w:pPr>
      <w:r>
        <w:t xml:space="preserve">1. Executive summary</w:t>
      </w:r>
    </w:p>
    <w:bookmarkStart w:id="22" w:name="purpose"/>
    <w:p>
      <w:pPr>
        <w:pStyle w:val="Heading3"/>
      </w:pPr>
      <w:r>
        <w:t xml:space="preserve">1.1 Purpose</w:t>
      </w:r>
    </w:p>
    <w:p>
      <w:pPr>
        <w:pStyle w:val="FirstParagraph"/>
      </w:pPr>
      <w:r>
        <w:t xml:space="preserve">The Visual Observability Platform (VOP) shall convert visual sources into</w:t>
      </w:r>
      <w:r>
        <w:t xml:space="preserve"> </w:t>
      </w:r>
      <w:r>
        <w:rPr>
          <w:b/>
          <w:bCs/>
        </w:rPr>
        <w:t xml:space="preserve">user-defined, timestamped observations</w:t>
      </w:r>
      <w:r>
        <w:t xml:space="preserve"> </w:t>
      </w:r>
      <w:r>
        <w:t xml:space="preserve">and then into events, measurements, alerts and explanatory dashboards. A user selects a camera or other input, supplies one or more questions, chooses how answers should be measured, and reviews current conditions and historical evidence. A source can support many independent questions; each question can drive many measurements and outputs.</w:t>
      </w:r>
    </w:p>
    <w:p>
      <w:pPr>
        <w:pStyle w:val="BodyText"/>
      </w:pPr>
      <w:r>
        <w:t xml:space="preserve">The platform is</w:t>
      </w:r>
      <w:r>
        <w:t xml:space="preserve"> </w:t>
      </w:r>
      <w:r>
        <w:rPr>
          <w:b/>
          <w:bCs/>
        </w:rPr>
        <w:t xml:space="preserve">not</w:t>
      </w:r>
      <w:r>
        <w:t xml:space="preserve"> </w:t>
      </w:r>
      <w:r>
        <w:t xml:space="preserve">a replacement for a CCTV recorder, a certified fire or flood alarm, a safety controller, or a clinical decision system. It provides supplementary observational intelligence. The initial inference backend is Liquid AI’s</w:t>
      </w:r>
      <w:r>
        <w:t xml:space="preserve"> </w:t>
      </w:r>
      <w:r>
        <w:rPr>
          <w:b/>
          <w:bCs/>
        </w:rPr>
        <w:t xml:space="preserve">d1-3B</w:t>
      </w:r>
      <w:r>
        <w:t xml:space="preserve">, but the software shall remain model-agnostic.</w:t>
      </w:r>
    </w:p>
    <w:bookmarkEnd w:id="22"/>
    <w:bookmarkStart w:id="23" w:name="product-goals"/>
    <w:p>
      <w:pPr>
        <w:pStyle w:val="Heading3"/>
      </w:pPr>
      <w:r>
        <w:t xml:space="preserve">1.2 Product goals</w:t>
      </w:r>
    </w:p>
    <w:p>
      <w:pPr>
        <w:pStyle w:val="Compact"/>
        <w:numPr>
          <w:ilvl w:val="0"/>
          <w:numId w:val="1002"/>
        </w:numPr>
      </w:pPr>
      <w:r>
        <w:t xml:space="preserve">Make existing cameras and image sources usable as configurable visual sensors.</w:t>
      </w:r>
    </w:p>
    <w:p>
      <w:pPr>
        <w:pStyle w:val="Compact"/>
        <w:numPr>
          <w:ilvl w:val="0"/>
          <w:numId w:val="1002"/>
        </w:numPr>
      </w:pPr>
      <w:r>
        <w:t xml:space="preserve">Let non-programmers define observations in ordinary language.</w:t>
      </w:r>
    </w:p>
    <w:p>
      <w:pPr>
        <w:pStyle w:val="Compact"/>
        <w:numPr>
          <w:ilvl w:val="0"/>
          <w:numId w:val="1002"/>
        </w:numPr>
      </w:pPr>
      <w:r>
        <w:t xml:space="preserve">Convert repeated decisions into robust states, counts, frequency, duration and trends.</w:t>
      </w:r>
    </w:p>
    <w:p>
      <w:pPr>
        <w:pStyle w:val="Compact"/>
        <w:numPr>
          <w:ilvl w:val="0"/>
          <w:numId w:val="1002"/>
        </w:numPr>
      </w:pPr>
      <w:r>
        <w:t xml:space="preserve">Preserve enough provenance to explain and audit every significant event.</w:t>
      </w:r>
    </w:p>
    <w:p>
      <w:pPr>
        <w:pStyle w:val="Compact"/>
        <w:numPr>
          <w:ilvl w:val="0"/>
          <w:numId w:val="1002"/>
        </w:numPr>
      </w:pPr>
      <w:r>
        <w:t xml:space="preserve">Run locally without mandatory cloud services; scale through optional processing workers.</w:t>
      </w:r>
    </w:p>
    <w:p>
      <w:pPr>
        <w:pStyle w:val="Compact"/>
        <w:numPr>
          <w:ilvl w:val="0"/>
          <w:numId w:val="1002"/>
        </w:numPr>
      </w:pPr>
      <w:r>
        <w:t xml:space="preserve">Separate input, inference, measurement, rule and presentation implementations.</w:t>
      </w:r>
    </w:p>
    <w:p>
      <w:pPr>
        <w:pStyle w:val="Compact"/>
        <w:numPr>
          <w:ilvl w:val="0"/>
          <w:numId w:val="1002"/>
        </w:numPr>
      </w:pPr>
      <w:r>
        <w:t xml:space="preserve">Prioritise least-privilege access, bounded retention and safe workplace deployment.</w:t>
      </w:r>
    </w:p>
    <w:bookmarkEnd w:id="23"/>
    <w:bookmarkStart w:id="24" w:name="representative-use-cases"/>
    <w:p>
      <w:pPr>
        <w:pStyle w:val="Heading3"/>
      </w:pPr>
      <w:r>
        <w:t xml:space="preserve">1.3 Representative use cases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008"/>
        <w:gridCol w:w="1656"/>
        <w:gridCol w:w="3485"/>
        <w:gridCol w:w="3384"/>
      </w:tblGrid>
      <w:tr>
        <w:trPr>
          <w:tblHeader w:val="on"/>
          <w:tblHeader w:val="true"/>
        </w:trPr>
        <w:tc>
          <w:tcPr>
            <w:tcW w:type="dxa" w:w="1008"/>
            <w:vAlign w:val="center"/>
          </w:tcPr>
          <w:p>
            <w:pPr>
              <w:pStyle w:val="Compact"/>
              <w:spacing w:after="20" w:before="0"/>
              <w:jc w:val="left"/>
            </w:pPr>
            <w:r>
              <w:rPr>
                <w:b/>
                <w:sz w:val="16"/>
              </w:rPr>
              <w:t xml:space="preserve">ID</w:t>
            </w:r>
          </w:p>
        </w:tc>
        <w:tc>
          <w:tcPr>
            <w:tcW w:type="dxa" w:w="1656"/>
            <w:vAlign w:val="center"/>
          </w:tcPr>
          <w:p>
            <w:pPr>
              <w:pStyle w:val="Compact"/>
              <w:spacing w:after="20" w:before="0"/>
              <w:jc w:val="left"/>
            </w:pPr>
            <w:r>
              <w:rPr>
                <w:b/>
                <w:sz w:val="16"/>
              </w:rPr>
              <w:t xml:space="preserve">Setting</w:t>
            </w:r>
          </w:p>
        </w:tc>
        <w:tc>
          <w:tcPr>
            <w:tcW w:type="dxa" w:w="3485"/>
            <w:vAlign w:val="center"/>
          </w:tcPr>
          <w:p>
            <w:pPr>
              <w:pStyle w:val="Compact"/>
              <w:spacing w:after="20" w:before="0"/>
              <w:jc w:val="left"/>
            </w:pPr>
            <w:r>
              <w:rPr>
                <w:b/>
                <w:sz w:val="16"/>
              </w:rPr>
              <w:t xml:space="preserve">User question</w:t>
            </w:r>
          </w:p>
        </w:tc>
        <w:tc>
          <w:tcPr>
            <w:tcW w:type="dxa" w:w="3384"/>
            <w:vAlign w:val="center"/>
          </w:tcPr>
          <w:p>
            <w:pPr>
              <w:pStyle w:val="Compact"/>
              <w:spacing w:after="20" w:before="0"/>
              <w:jc w:val="left"/>
            </w:pPr>
            <w:r>
              <w:rPr>
                <w:b/>
                <w:sz w:val="16"/>
              </w:rPr>
              <w:t xml:space="preserve">Derived value</w:t>
            </w:r>
          </w:p>
        </w:tc>
      </w:tr>
      <w:tr>
        <w:tc>
          <w:tcPr>
            <w:tcW w:type="dxa" w:w="1008"/>
            <w:vAlign w:val="center"/>
          </w:tcPr>
          <w:p>
            <w:pPr>
              <w:pStyle w:val="Compact"/>
              <w:spacing w:after="20" w:before="0"/>
              <w:jc w:val="left"/>
            </w:pPr>
            <w:r>
              <w:rPr>
                <w:sz w:val="16"/>
              </w:rPr>
              <w:t xml:space="preserve">UC-01</w:t>
            </w:r>
          </w:p>
        </w:tc>
        <w:tc>
          <w:tcPr>
            <w:tcW w:type="dxa" w:w="1656"/>
            <w:vAlign w:val="center"/>
          </w:tcPr>
          <w:p>
            <w:pPr>
              <w:pStyle w:val="Compact"/>
              <w:spacing w:after="20" w:before="0"/>
              <w:jc w:val="left"/>
            </w:pPr>
            <w:r>
              <w:rPr>
                <w:sz w:val="16"/>
              </w:rPr>
              <w:t xml:space="preserve">Home / Tapo</w:t>
            </w:r>
          </w:p>
        </w:tc>
        <w:tc>
          <w:tcPr>
            <w:tcW w:type="dxa" w:w="3485"/>
            <w:vAlign w:val="center"/>
          </w:tcPr>
          <w:p>
            <w:pPr>
              <w:pStyle w:val="Compact"/>
              <w:spacing w:after="20" w:before="0"/>
              <w:jc w:val="left"/>
            </w:pPr>
            <w:r>
              <w:rPr>
                <w:sz w:val="16"/>
              </w:rPr>
              <w:t xml:space="preserve">Is a fox visible in the garden?</w:t>
            </w:r>
          </w:p>
        </w:tc>
        <w:tc>
          <w:tcPr>
            <w:tcW w:type="dxa" w:w="3384"/>
            <w:vAlign w:val="center"/>
          </w:tcPr>
          <w:p>
            <w:pPr>
              <w:pStyle w:val="Compact"/>
              <w:spacing w:after="20" w:before="0"/>
              <w:jc w:val="left"/>
            </w:pPr>
            <w:r>
              <w:rPr>
                <w:sz w:val="16"/>
              </w:rPr>
              <w:t xml:space="preserve">Visits per day, visit duration, evidence gallery</w:t>
            </w:r>
          </w:p>
        </w:tc>
      </w:tr>
      <w:tr>
        <w:tc>
          <w:tcPr>
            <w:tcW w:type="dxa" w:w="1008"/>
            <w:vAlign w:val="center"/>
          </w:tcPr>
          <w:p>
            <w:pPr>
              <w:pStyle w:val="Compact"/>
              <w:spacing w:after="20" w:before="0"/>
              <w:jc w:val="left"/>
            </w:pPr>
            <w:r>
              <w:rPr>
                <w:sz w:val="16"/>
              </w:rPr>
              <w:t xml:space="preserve">UC-02</w:t>
            </w:r>
          </w:p>
        </w:tc>
        <w:tc>
          <w:tcPr>
            <w:tcW w:type="dxa" w:w="1656"/>
            <w:vAlign w:val="center"/>
          </w:tcPr>
          <w:p>
            <w:pPr>
              <w:pStyle w:val="Compact"/>
              <w:spacing w:after="20" w:before="0"/>
              <w:jc w:val="left"/>
            </w:pPr>
            <w:r>
              <w:rPr>
                <w:sz w:val="16"/>
              </w:rPr>
              <w:t xml:space="preserve">Home / entrance</w:t>
            </w:r>
          </w:p>
        </w:tc>
        <w:tc>
          <w:tcPr>
            <w:tcW w:type="dxa" w:w="3485"/>
            <w:vAlign w:val="center"/>
          </w:tcPr>
          <w:p>
            <w:pPr>
              <w:pStyle w:val="Compact"/>
              <w:spacing w:after="20" w:before="0"/>
              <w:jc w:val="left"/>
            </w:pPr>
            <w:r>
              <w:rPr>
                <w:sz w:val="16"/>
              </w:rPr>
              <w:t xml:space="preserve">Is a parcel present in the marked doorstep area?</w:t>
            </w:r>
          </w:p>
        </w:tc>
        <w:tc>
          <w:tcPr>
            <w:tcW w:type="dxa" w:w="3384"/>
            <w:vAlign w:val="center"/>
          </w:tcPr>
          <w:p>
            <w:pPr>
              <w:pStyle w:val="Compact"/>
              <w:spacing w:after="20" w:before="0"/>
              <w:jc w:val="left"/>
            </w:pPr>
            <w:r>
              <w:rPr>
                <w:sz w:val="16"/>
              </w:rPr>
              <w:t xml:space="preserve">Arrival and disappearance events</w:t>
            </w:r>
          </w:p>
        </w:tc>
      </w:tr>
      <w:tr>
        <w:tc>
          <w:tcPr>
            <w:tcW w:type="dxa" w:w="1008"/>
            <w:vAlign w:val="center"/>
          </w:tcPr>
          <w:p>
            <w:pPr>
              <w:pStyle w:val="Compact"/>
              <w:spacing w:after="20" w:before="0"/>
              <w:jc w:val="left"/>
            </w:pPr>
            <w:r>
              <w:rPr>
                <w:sz w:val="16"/>
              </w:rPr>
              <w:t xml:space="preserve">UC-03</w:t>
            </w:r>
          </w:p>
        </w:tc>
        <w:tc>
          <w:tcPr>
            <w:tcW w:type="dxa" w:w="1656"/>
            <w:vAlign w:val="center"/>
          </w:tcPr>
          <w:p>
            <w:pPr>
              <w:pStyle w:val="Compact"/>
              <w:spacing w:after="20" w:before="0"/>
              <w:jc w:val="left"/>
            </w:pPr>
            <w:r>
              <w:rPr>
                <w:sz w:val="16"/>
              </w:rPr>
              <w:t xml:space="preserve">Server room</w:t>
            </w:r>
          </w:p>
        </w:tc>
        <w:tc>
          <w:tcPr>
            <w:tcW w:type="dxa" w:w="3485"/>
            <w:vAlign w:val="center"/>
          </w:tcPr>
          <w:p>
            <w:pPr>
              <w:pStyle w:val="Compact"/>
              <w:spacing w:after="20" w:before="0"/>
              <w:jc w:val="left"/>
            </w:pPr>
            <w:r>
              <w:rPr>
                <w:sz w:val="16"/>
              </w:rPr>
              <w:t xml:space="preserve">Is visible water present beneath rack A?</w:t>
            </w:r>
          </w:p>
        </w:tc>
        <w:tc>
          <w:tcPr>
            <w:tcW w:type="dxa" w:w="3384"/>
            <w:vAlign w:val="center"/>
          </w:tcPr>
          <w:p>
            <w:pPr>
              <w:pStyle w:val="Compact"/>
              <w:spacing w:after="20" w:before="0"/>
              <w:jc w:val="left"/>
            </w:pPr>
            <w:r>
              <w:rPr>
                <w:sz w:val="16"/>
              </w:rPr>
              <w:t xml:space="preserve">Water-detection episode and urgent review alert</w:t>
            </w:r>
          </w:p>
        </w:tc>
      </w:tr>
      <w:tr>
        <w:tc>
          <w:tcPr>
            <w:tcW w:type="dxa" w:w="1008"/>
            <w:vAlign w:val="center"/>
          </w:tcPr>
          <w:p>
            <w:pPr>
              <w:pStyle w:val="Compact"/>
              <w:spacing w:after="20" w:before="0"/>
              <w:jc w:val="left"/>
            </w:pPr>
            <w:r>
              <w:rPr>
                <w:sz w:val="16"/>
              </w:rPr>
              <w:t xml:space="preserve">UC-04</w:t>
            </w:r>
          </w:p>
        </w:tc>
        <w:tc>
          <w:tcPr>
            <w:tcW w:type="dxa" w:w="1656"/>
            <w:vAlign w:val="center"/>
          </w:tcPr>
          <w:p>
            <w:pPr>
              <w:pStyle w:val="Compact"/>
              <w:spacing w:after="20" w:before="0"/>
              <w:jc w:val="left"/>
            </w:pPr>
            <w:r>
              <w:rPr>
                <w:sz w:val="16"/>
              </w:rPr>
              <w:t xml:space="preserve">Server room</w:t>
            </w:r>
          </w:p>
        </w:tc>
        <w:tc>
          <w:tcPr>
            <w:tcW w:type="dxa" w:w="3485"/>
            <w:vAlign w:val="center"/>
          </w:tcPr>
          <w:p>
            <w:pPr>
              <w:pStyle w:val="Compact"/>
              <w:spacing w:after="20" w:before="0"/>
              <w:jc w:val="left"/>
            </w:pPr>
            <w:r>
              <w:rPr>
                <w:sz w:val="16"/>
              </w:rPr>
              <w:t xml:space="preserve">Is cabinet door 4 open?</w:t>
            </w:r>
          </w:p>
        </w:tc>
        <w:tc>
          <w:tcPr>
            <w:tcW w:type="dxa" w:w="3384"/>
            <w:vAlign w:val="center"/>
          </w:tcPr>
          <w:p>
            <w:pPr>
              <w:pStyle w:val="Compact"/>
              <w:spacing w:after="20" w:before="0"/>
              <w:jc w:val="left"/>
            </w:pPr>
            <w:r>
              <w:rPr>
                <w:sz w:val="16"/>
              </w:rPr>
              <w:t xml:space="preserve">Duration open, event history, persistence alert</w:t>
            </w:r>
          </w:p>
        </w:tc>
      </w:tr>
      <w:tr>
        <w:tc>
          <w:tcPr>
            <w:tcW w:type="dxa" w:w="1008"/>
            <w:vAlign w:val="center"/>
          </w:tcPr>
          <w:p>
            <w:pPr>
              <w:pStyle w:val="Compact"/>
              <w:spacing w:after="20" w:before="0"/>
              <w:jc w:val="left"/>
            </w:pPr>
            <w:r>
              <w:rPr>
                <w:sz w:val="16"/>
              </w:rPr>
              <w:t xml:space="preserve">UC-05</w:t>
            </w:r>
          </w:p>
        </w:tc>
        <w:tc>
          <w:tcPr>
            <w:tcW w:type="dxa" w:w="1656"/>
            <w:vAlign w:val="center"/>
          </w:tcPr>
          <w:p>
            <w:pPr>
              <w:pStyle w:val="Compact"/>
              <w:spacing w:after="20" w:before="0"/>
              <w:jc w:val="left"/>
            </w:pPr>
            <w:r>
              <w:rPr>
                <w:sz w:val="16"/>
              </w:rPr>
              <w:t xml:space="preserve">IT workshop</w:t>
            </w:r>
          </w:p>
        </w:tc>
        <w:tc>
          <w:tcPr>
            <w:tcW w:type="dxa" w:w="3485"/>
            <w:vAlign w:val="center"/>
          </w:tcPr>
          <w:p>
            <w:pPr>
              <w:pStyle w:val="Compact"/>
              <w:spacing w:after="20" w:before="0"/>
              <w:jc w:val="left"/>
            </w:pPr>
            <w:r>
              <w:rPr>
                <w:sz w:val="16"/>
              </w:rPr>
              <w:t xml:space="preserve">Is a marked walkway obstructed?</w:t>
            </w:r>
          </w:p>
        </w:tc>
        <w:tc>
          <w:tcPr>
            <w:tcW w:type="dxa" w:w="3384"/>
            <w:vAlign w:val="center"/>
          </w:tcPr>
          <w:p>
            <w:pPr>
              <w:pStyle w:val="Compact"/>
              <w:spacing w:after="20" w:before="0"/>
              <w:jc w:val="left"/>
            </w:pPr>
            <w:r>
              <w:rPr>
                <w:sz w:val="16"/>
              </w:rPr>
              <w:t xml:space="preserve">Percentage of working hours obstructed</w:t>
            </w:r>
          </w:p>
        </w:tc>
      </w:tr>
      <w:tr>
        <w:tc>
          <w:tcPr>
            <w:tcW w:type="dxa" w:w="1008"/>
            <w:vAlign w:val="center"/>
          </w:tcPr>
          <w:p>
            <w:pPr>
              <w:pStyle w:val="Compact"/>
              <w:spacing w:after="20" w:before="0"/>
              <w:jc w:val="left"/>
            </w:pPr>
            <w:r>
              <w:rPr>
                <w:sz w:val="16"/>
              </w:rPr>
              <w:t xml:space="preserve">UC-06</w:t>
            </w:r>
          </w:p>
        </w:tc>
        <w:tc>
          <w:tcPr>
            <w:tcW w:type="dxa" w:w="1656"/>
            <w:vAlign w:val="center"/>
          </w:tcPr>
          <w:p>
            <w:pPr>
              <w:pStyle w:val="Compact"/>
              <w:spacing w:after="20" w:before="0"/>
              <w:jc w:val="left"/>
            </w:pPr>
            <w:r>
              <w:rPr>
                <w:sz w:val="16"/>
              </w:rPr>
              <w:t xml:space="preserve">Legacy equipment</w:t>
            </w:r>
          </w:p>
        </w:tc>
        <w:tc>
          <w:tcPr>
            <w:tcW w:type="dxa" w:w="3485"/>
            <w:vAlign w:val="center"/>
          </w:tcPr>
          <w:p>
            <w:pPr>
              <w:pStyle w:val="Compact"/>
              <w:spacing w:after="20" w:before="0"/>
              <w:jc w:val="left"/>
            </w:pPr>
            <w:r>
              <w:rPr>
                <w:sz w:val="16"/>
              </w:rPr>
              <w:t xml:space="preserve">Is the UPS indicator green, amber or red?</w:t>
            </w:r>
          </w:p>
        </w:tc>
        <w:tc>
          <w:tcPr>
            <w:tcW w:type="dxa" w:w="3384"/>
            <w:vAlign w:val="center"/>
          </w:tcPr>
          <w:p>
            <w:pPr>
              <w:pStyle w:val="Compact"/>
              <w:spacing w:after="20" w:before="0"/>
              <w:jc w:val="left"/>
            </w:pPr>
            <w:r>
              <w:rPr>
                <w:sz w:val="16"/>
              </w:rPr>
              <w:t xml:space="preserve">Time spent in each state and changes</w:t>
            </w:r>
          </w:p>
        </w:tc>
      </w:tr>
    </w:tbl>
    <w:bookmarkEnd w:id="24"/>
    <w:bookmarkStart w:id="25" w:name="success-conditions"/>
    <w:p>
      <w:pPr>
        <w:pStyle w:val="Heading3"/>
      </w:pPr>
      <w:r>
        <w:t xml:space="preserve">1.4 Success conditions</w:t>
      </w:r>
    </w:p>
    <w:p>
      <w:pPr>
        <w:pStyle w:val="FirstParagraph"/>
      </w:pPr>
      <w:r>
        <w:t xml:space="preserve">The MVP will be considered successful when a user can connect at least one supported camera or image source, configure two or more independent questions, produce saved observations and derived events, review linked snapshots and charts, and recover correctly after source disconnection and service restart. Acceptance shall use replayable reference media as well as a real camera. The model’s classification accuracy must be measured; it shall</w:t>
      </w:r>
      <w:r>
        <w:t xml:space="preserve"> </w:t>
      </w:r>
      <w:r>
        <w:rPr>
          <w:b/>
          <w:bCs/>
        </w:rPr>
        <w:t xml:space="preserve">not</w:t>
      </w:r>
      <w:r>
        <w:t xml:space="preserve"> </w:t>
      </w:r>
      <w:r>
        <w:t xml:space="preserve">be assumed from published model benchmarks.</w:t>
      </w:r>
    </w:p>
    <w:bookmarkEnd w:id="25"/>
    <w:bookmarkEnd w:id="26"/>
    <w:bookmarkStart w:id="32" w:name="scope-boundaries-and-assumptions"/>
    <w:p>
      <w:pPr>
        <w:pStyle w:val="Heading2"/>
      </w:pPr>
      <w:r>
        <w:t xml:space="preserve">2. Scope, boundaries and assumptions</w:t>
      </w:r>
    </w:p>
    <w:bookmarkStart w:id="27" w:name="Xbbedaec6d66fdc6a53d81203c7cffe89a7a879d"/>
    <w:p>
      <w:pPr>
        <w:pStyle w:val="Heading3"/>
      </w:pPr>
      <w:r>
        <w:t xml:space="preserve">2.1 In scope for MVP (later release, not Phase 0)</w:t>
      </w:r>
    </w:p>
    <w:p>
      <w:pPr>
        <w:pStyle w:val="Compact"/>
        <w:numPr>
          <w:ilvl w:val="0"/>
          <w:numId w:val="1003"/>
        </w:numPr>
      </w:pPr>
      <w:r>
        <w:t xml:space="preserve">Local Windows 11 development and operation; an optional Linux deployment profile.</w:t>
      </w:r>
    </w:p>
    <w:p>
      <w:pPr>
        <w:pStyle w:val="Compact"/>
        <w:numPr>
          <w:ilvl w:val="0"/>
          <w:numId w:val="1003"/>
        </w:numPr>
      </w:pPr>
      <w:r>
        <w:t xml:space="preserve">Image files, video files, HTTP(S) snapshot URLs, RTSP streams and a locally attached USB webcam.</w:t>
      </w:r>
    </w:p>
    <w:p>
      <w:pPr>
        <w:pStyle w:val="Compact"/>
        <w:numPr>
          <w:ilvl w:val="0"/>
          <w:numId w:val="1003"/>
        </w:numPr>
      </w:pPr>
      <w:r>
        <w:t xml:space="preserve">Configurable per-source sampling, test connection, health status and restricted regions of interest (ROI).</w:t>
      </w:r>
    </w:p>
    <w:p>
      <w:pPr>
        <w:pStyle w:val="Compact"/>
        <w:numPr>
          <w:ilvl w:val="0"/>
          <w:numId w:val="1003"/>
        </w:numPr>
      </w:pPr>
      <w:r>
        <w:t xml:space="preserve">User-supplied binary, named-choice and ordinal questions using d1-3B when available.</w:t>
      </w:r>
    </w:p>
    <w:p>
      <w:pPr>
        <w:pStyle w:val="Compact"/>
        <w:numPr>
          <w:ilvl w:val="0"/>
          <w:numId w:val="1003"/>
        </w:numPr>
      </w:pPr>
      <w:r>
        <w:t xml:space="preserve">A model-neutral inference interface and explicit error/unknown outcomes.</w:t>
      </w:r>
    </w:p>
    <w:p>
      <w:pPr>
        <w:pStyle w:val="Compact"/>
        <w:numPr>
          <w:ilvl w:val="0"/>
          <w:numId w:val="1003"/>
        </w:numPr>
      </w:pPr>
      <w:r>
        <w:t xml:space="preserve">Persistence-aware binary state tracking, event counts, estimated durations, frequency and basic trends.</w:t>
      </w:r>
    </w:p>
    <w:p>
      <w:pPr>
        <w:pStyle w:val="Compact"/>
        <w:numPr>
          <w:ilvl w:val="0"/>
          <w:numId w:val="1003"/>
        </w:numPr>
      </w:pPr>
      <w:r>
        <w:t xml:space="preserve">Dashboard with source status, latest answers, timelines, charts, events and optional evidence images.</w:t>
      </w:r>
    </w:p>
    <w:p>
      <w:pPr>
        <w:pStyle w:val="Compact"/>
        <w:numPr>
          <w:ilvl w:val="0"/>
          <w:numId w:val="1003"/>
        </w:numPr>
      </w:pPr>
      <w:r>
        <w:t xml:space="preserve">Local user accounts and role-based controls; authenticated web access.</w:t>
      </w:r>
    </w:p>
    <w:p>
      <w:pPr>
        <w:pStyle w:val="Compact"/>
        <w:numPr>
          <w:ilvl w:val="0"/>
          <w:numId w:val="1003"/>
        </w:numPr>
      </w:pPr>
      <w:r>
        <w:t xml:space="preserve">Per-source retention, export of tabular results, audit trail and basic notifications.</w:t>
      </w:r>
    </w:p>
    <w:p>
      <w:pPr>
        <w:pStyle w:val="Compact"/>
        <w:numPr>
          <w:ilvl w:val="0"/>
          <w:numId w:val="1003"/>
        </w:numPr>
      </w:pPr>
      <w:r>
        <w:t xml:space="preserve">Importable test datasets for deterministic system testing.</w:t>
      </w:r>
    </w:p>
    <w:bookmarkEnd w:id="27"/>
    <w:bookmarkStart w:id="28" w:name="explicit-phase-0-boundary"/>
    <w:p>
      <w:pPr>
        <w:pStyle w:val="Heading3"/>
      </w:pPr>
      <w:r>
        <w:t xml:space="preserve">2.1.1 Explicit Phase 0 boundary</w:t>
      </w:r>
    </w:p>
    <w:p>
      <w:pPr>
        <w:pStyle w:val="FirstParagraph"/>
      </w:pPr>
      <w:r>
        <w:t xml:space="preserve">Phase 0 implements only a still-image input adapter, typed inference contracts, a clearly labelled deterministic mock engine, an</w:t>
      </w:r>
      <w:r>
        <w:t xml:space="preserve"> </w:t>
      </w:r>
      <w:r>
        <w:rPr>
          <w:b/>
          <w:bCs/>
        </w:rPr>
        <w:t xml:space="preserve">optional and explicitly initiated</w:t>
      </w:r>
      <w:r>
        <w:t xml:space="preserve"> </w:t>
      </w:r>
      <w:r>
        <w:t xml:space="preserve">d1-3B CPU benchmark, and offline tests/documentation. No React dashboard, database, RTSP streaming, background surveillance, live alerts or workplace deployment is authorised by this handoff. Real-model memory failure is an acceptable finding if accurately reported. See</w:t>
      </w:r>
      <w:r>
        <w:t xml:space="preserve"> </w:t>
      </w:r>
      <w:r>
        <w:rPr>
          <w:rStyle w:val="VerbatimChar"/>
        </w:rPr>
        <w:t xml:space="preserve">CODEX_PHASE_0.md</w:t>
      </w:r>
      <w:r>
        <w:t xml:space="preserve">,</w:t>
      </w:r>
      <w:r>
        <w:t xml:space="preserve"> </w:t>
      </w:r>
      <w:r>
        <w:rPr>
          <w:rStyle w:val="VerbatimChar"/>
        </w:rPr>
        <w:t xml:space="preserve">AGENTS.md</w:t>
      </w:r>
      <w:r>
        <w:t xml:space="preserve"> </w:t>
      </w:r>
      <w:r>
        <w:t xml:space="preserve">and ADR-0001.</w:t>
      </w:r>
    </w:p>
    <w:bookmarkEnd w:id="28"/>
    <w:bookmarkStart w:id="29" w:name="future-or-conditional-scope"/>
    <w:p>
      <w:pPr>
        <w:pStyle w:val="Heading3"/>
      </w:pPr>
      <w:r>
        <w:t xml:space="preserve">2.2 Future or conditional scope</w:t>
      </w:r>
    </w:p>
    <w:p>
      <w:pPr>
        <w:pStyle w:val="Compact"/>
        <w:numPr>
          <w:ilvl w:val="0"/>
          <w:numId w:val="1004"/>
        </w:numPr>
      </w:pPr>
      <w:r>
        <w:t xml:space="preserve">ONVIF discovery, profiles and PTZ controls; network capture agents for remote USB devices.</w:t>
      </w:r>
    </w:p>
    <w:p>
      <w:pPr>
        <w:pStyle w:val="Compact"/>
        <w:numPr>
          <w:ilvl w:val="0"/>
          <w:numId w:val="1004"/>
        </w:numPr>
      </w:pPr>
      <w:r>
        <w:t xml:space="preserve">MJPEG, HLS, WebRTC, RTMP, SRT, RTP, NVR and proprietary/cloud-only camera adapters where technically and contractually available.</w:t>
      </w:r>
    </w:p>
    <w:p>
      <w:pPr>
        <w:pStyle w:val="Compact"/>
        <w:numPr>
          <w:ilvl w:val="0"/>
          <w:numId w:val="1004"/>
        </w:numPr>
      </w:pPr>
      <w:r>
        <w:t xml:space="preserve">Specialist object detection/tracking, OCR, visual differencing, counting and multimodal audio engines.</w:t>
      </w:r>
    </w:p>
    <w:p>
      <w:pPr>
        <w:pStyle w:val="Compact"/>
        <w:numPr>
          <w:ilvl w:val="0"/>
          <w:numId w:val="1004"/>
        </w:numPr>
      </w:pPr>
      <w:r>
        <w:t xml:space="preserve">Multi-worker inference, central PostgreSQL, SSO, granular tenancy and distributed observability.</w:t>
      </w:r>
    </w:p>
    <w:p>
      <w:pPr>
        <w:pStyle w:val="Compact"/>
        <w:numPr>
          <w:ilvl w:val="0"/>
          <w:numId w:val="1004"/>
        </w:numPr>
      </w:pPr>
      <w:r>
        <w:t xml:space="preserve">Advanced correlations, rules across sources, configurable report generation and alert integrations.</w:t>
      </w:r>
    </w:p>
    <w:p>
      <w:pPr>
        <w:pStyle w:val="Compact"/>
        <w:numPr>
          <w:ilvl w:val="0"/>
          <w:numId w:val="1004"/>
        </w:numPr>
      </w:pPr>
      <w:r>
        <w:t xml:space="preserve">User-installable dashboard widgets and documented third-party plugin packaging.</w:t>
      </w:r>
    </w:p>
    <w:bookmarkEnd w:id="29"/>
    <w:bookmarkStart w:id="30" w:name="explicit-exclusions"/>
    <w:p>
      <w:pPr>
        <w:pStyle w:val="Heading3"/>
      </w:pPr>
      <w:r>
        <w:t xml:space="preserve">2.3 Explicit exclusions</w:t>
      </w:r>
    </w:p>
    <w:p>
      <w:pPr>
        <w:pStyle w:val="Compact"/>
        <w:numPr>
          <w:ilvl w:val="0"/>
          <w:numId w:val="1005"/>
        </w:numPr>
      </w:pPr>
      <w:r>
        <w:t xml:space="preserve">Guaranteed interoperability with every camera, URL or codec; source availability depends on protocol and manufacturer restrictions.</w:t>
      </w:r>
    </w:p>
    <w:p>
      <w:pPr>
        <w:pStyle w:val="Compact"/>
        <w:numPr>
          <w:ilvl w:val="0"/>
          <w:numId w:val="1005"/>
        </w:numPr>
      </w:pPr>
      <w:r>
        <w:t xml:space="preserve">Automatic identification of people, facial recognition, emotion inference, employee productivity scoring or covert staff surveillance.</w:t>
      </w:r>
    </w:p>
    <w:p>
      <w:pPr>
        <w:pStyle w:val="Compact"/>
        <w:numPr>
          <w:ilvl w:val="0"/>
          <w:numId w:val="1005"/>
        </w:numPr>
      </w:pPr>
      <w:r>
        <w:t xml:space="preserve">Medical, diagnostic, fire, electrical or flood safety certification.</w:t>
      </w:r>
    </w:p>
    <w:p>
      <w:pPr>
        <w:pStyle w:val="Compact"/>
        <w:numPr>
          <w:ilvl w:val="0"/>
          <w:numId w:val="1005"/>
        </w:numPr>
      </w:pPr>
      <w:r>
        <w:t xml:space="preserve">Default continuous recording and archiving of all camera footage.</w:t>
      </w:r>
    </w:p>
    <w:p>
      <w:pPr>
        <w:pStyle w:val="Compact"/>
        <w:numPr>
          <w:ilvl w:val="0"/>
          <w:numId w:val="1005"/>
        </w:numPr>
      </w:pPr>
      <w:r>
        <w:t xml:space="preserve">Autonomous control of physical safety systems in the MVP.</w:t>
      </w:r>
    </w:p>
    <w:p>
      <w:pPr>
        <w:pStyle w:val="Compact"/>
        <w:numPr>
          <w:ilvl w:val="0"/>
          <w:numId w:val="1005"/>
        </w:numPr>
      </w:pPr>
      <w:r>
        <w:t xml:space="preserve">Claiming that a model score is automatically a calibrated probability of a real-world event.</w:t>
      </w:r>
    </w:p>
    <w:bookmarkEnd w:id="30"/>
    <w:bookmarkStart w:id="31" w:name="assumptions-and-dependencies"/>
    <w:p>
      <w:pPr>
        <w:pStyle w:val="Heading3"/>
      </w:pPr>
      <w:r>
        <w:t xml:space="preserve">2.4 Assumptions and dependencies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2016"/>
        <w:gridCol w:w="7517"/>
      </w:tblGrid>
      <w:tr>
        <w:trPr>
          <w:tblHeader w:val="on"/>
          <w:tblHeader w:val="true"/>
        </w:trPr>
        <w:tc>
          <w:tcPr>
            <w:tcW w:type="dxa" w:w="2016"/>
            <w:vAlign w:val="center"/>
          </w:tcPr>
          <w:p>
            <w:pPr>
              <w:pStyle w:val="Compact"/>
              <w:spacing w:after="20" w:before="0"/>
              <w:jc w:val="left"/>
            </w:pPr>
            <w:r>
              <w:rPr>
                <w:b/>
                <w:sz w:val="16"/>
              </w:rPr>
              <w:t xml:space="preserve">Ref</w:t>
            </w:r>
          </w:p>
        </w:tc>
        <w:tc>
          <w:tcPr>
            <w:tcW w:type="dxa" w:w="7517"/>
            <w:vAlign w:val="center"/>
          </w:tcPr>
          <w:p>
            <w:pPr>
              <w:pStyle w:val="Compact"/>
              <w:spacing w:after="20" w:before="0"/>
              <w:jc w:val="left"/>
            </w:pPr>
            <w:r>
              <w:rPr>
                <w:b/>
                <w:sz w:val="16"/>
              </w:rPr>
              <w:t xml:space="preserve">Assumption or dependency</w:t>
            </w:r>
          </w:p>
        </w:tc>
      </w:tr>
      <w:tr>
        <w:tc>
          <w:tcPr>
            <w:tcW w:type="dxa" w:w="2016"/>
            <w:vAlign w:val="center"/>
          </w:tcPr>
          <w:p>
            <w:pPr>
              <w:pStyle w:val="Compact"/>
              <w:spacing w:after="20" w:before="0"/>
              <w:jc w:val="left"/>
            </w:pPr>
            <w:r>
              <w:rPr>
                <w:sz w:val="16"/>
              </w:rPr>
              <w:t xml:space="preserve">A-01</w:t>
            </w:r>
          </w:p>
        </w:tc>
        <w:tc>
          <w:tcPr>
            <w:tcW w:type="dxa" w:w="7517"/>
            <w:vAlign w:val="center"/>
          </w:tcPr>
          <w:p>
            <w:pPr>
              <w:pStyle w:val="Compact"/>
              <w:spacing w:after="20" w:before="0"/>
              <w:jc w:val="left"/>
            </w:pPr>
            <w:r>
              <w:rPr>
                <w:sz w:val="16"/>
              </w:rPr>
              <w:t xml:space="preserve">The initial test laptop has Windows 11, i5-10310U, 16 GB RAM and no required discrete GPU. Inference feasibility is an open gate.</w:t>
            </w:r>
          </w:p>
        </w:tc>
      </w:tr>
      <w:tr>
        <w:tc>
          <w:tcPr>
            <w:tcW w:type="dxa" w:w="2016"/>
            <w:vAlign w:val="center"/>
          </w:tcPr>
          <w:p>
            <w:pPr>
              <w:pStyle w:val="Compact"/>
              <w:spacing w:after="20" w:before="0"/>
              <w:jc w:val="left"/>
            </w:pPr>
            <w:r>
              <w:rPr>
                <w:sz w:val="16"/>
              </w:rPr>
              <w:t xml:space="preserve">A-02</w:t>
            </w:r>
          </w:p>
        </w:tc>
        <w:tc>
          <w:tcPr>
            <w:tcW w:type="dxa" w:w="7517"/>
            <w:vAlign w:val="center"/>
          </w:tcPr>
          <w:p>
            <w:pPr>
              <w:pStyle w:val="Compact"/>
              <w:spacing w:after="20" w:before="0"/>
              <w:jc w:val="left"/>
            </w:pPr>
            <w:r>
              <w:rPr>
                <w:sz w:val="16"/>
              </w:rPr>
              <w:t xml:space="preserve">The user has administrative permission to connect each camera; its documented protocol is actually enabled.</w:t>
            </w:r>
          </w:p>
        </w:tc>
      </w:tr>
      <w:tr>
        <w:tc>
          <w:tcPr>
            <w:tcW w:type="dxa" w:w="2016"/>
            <w:vAlign w:val="center"/>
          </w:tcPr>
          <w:p>
            <w:pPr>
              <w:pStyle w:val="Compact"/>
              <w:spacing w:after="20" w:before="0"/>
              <w:jc w:val="left"/>
            </w:pPr>
            <w:r>
              <w:rPr>
                <w:sz w:val="16"/>
              </w:rPr>
              <w:t xml:space="preserve">A-03</w:t>
            </w:r>
          </w:p>
        </w:tc>
        <w:tc>
          <w:tcPr>
            <w:tcW w:type="dxa" w:w="7517"/>
            <w:vAlign w:val="center"/>
          </w:tcPr>
          <w:p>
            <w:pPr>
              <w:pStyle w:val="Compact"/>
              <w:spacing w:after="20" w:before="0"/>
              <w:jc w:val="left"/>
            </w:pPr>
            <w:r>
              <w:rPr>
                <w:sz w:val="16"/>
              </w:rPr>
              <w:t xml:space="preserve">A camera image is not proof that an apparently closed door is locked or that an unseen area is safe.</w:t>
            </w:r>
          </w:p>
        </w:tc>
      </w:tr>
      <w:tr>
        <w:tc>
          <w:tcPr>
            <w:tcW w:type="dxa" w:w="2016"/>
            <w:vAlign w:val="center"/>
          </w:tcPr>
          <w:p>
            <w:pPr>
              <w:pStyle w:val="Compact"/>
              <w:spacing w:after="20" w:before="0"/>
              <w:jc w:val="left"/>
            </w:pPr>
            <w:r>
              <w:rPr>
                <w:sz w:val="16"/>
              </w:rPr>
              <w:t xml:space="preserve">A-04</w:t>
            </w:r>
          </w:p>
        </w:tc>
        <w:tc>
          <w:tcPr>
            <w:tcW w:type="dxa" w:w="7517"/>
            <w:vAlign w:val="center"/>
          </w:tcPr>
          <w:p>
            <w:pPr>
              <w:pStyle w:val="Compact"/>
              <w:spacing w:after="20" w:before="0"/>
              <w:jc w:val="left"/>
            </w:pPr>
            <w:r>
              <w:rPr>
                <w:sz w:val="16"/>
              </w:rPr>
              <w:t xml:space="preserve">Some user questions cannot be answered reliably by the selected model; the UI must make this visible.</w:t>
            </w:r>
          </w:p>
        </w:tc>
      </w:tr>
      <w:tr>
        <w:tc>
          <w:tcPr>
            <w:tcW w:type="dxa" w:w="2016"/>
            <w:vAlign w:val="center"/>
          </w:tcPr>
          <w:p>
            <w:pPr>
              <w:pStyle w:val="Compact"/>
              <w:spacing w:after="20" w:before="0"/>
              <w:jc w:val="left"/>
            </w:pPr>
            <w:r>
              <w:rPr>
                <w:sz w:val="16"/>
              </w:rPr>
              <w:t xml:space="preserve">A-05</w:t>
            </w:r>
          </w:p>
        </w:tc>
        <w:tc>
          <w:tcPr>
            <w:tcW w:type="dxa" w:w="7517"/>
            <w:vAlign w:val="center"/>
          </w:tcPr>
          <w:p>
            <w:pPr>
              <w:pStyle w:val="Compact"/>
              <w:spacing w:after="20" w:before="0"/>
              <w:jc w:val="left"/>
            </w:pPr>
            <w:r>
              <w:rPr>
                <w:sz w:val="16"/>
              </w:rPr>
              <w:t xml:space="preserve">Work deployments need local organisational approval, privacy assessment and network/security review.</w:t>
            </w:r>
          </w:p>
        </w:tc>
      </w:tr>
      <w:tr>
        <w:tc>
          <w:tcPr>
            <w:tcW w:type="dxa" w:w="2016"/>
            <w:vAlign w:val="center"/>
          </w:tcPr>
          <w:p>
            <w:pPr>
              <w:pStyle w:val="Compact"/>
              <w:spacing w:after="20" w:before="0"/>
              <w:jc w:val="left"/>
            </w:pPr>
            <w:r>
              <w:rPr>
                <w:sz w:val="16"/>
              </w:rPr>
              <w:t xml:space="preserve">A-06</w:t>
            </w:r>
          </w:p>
        </w:tc>
        <w:tc>
          <w:tcPr>
            <w:tcW w:type="dxa" w:w="7517"/>
            <w:vAlign w:val="center"/>
          </w:tcPr>
          <w:p>
            <w:pPr>
              <w:pStyle w:val="Compact"/>
              <w:spacing w:after="20" w:before="0"/>
              <w:jc w:val="left"/>
            </w:pPr>
            <w:r>
              <w:rPr>
                <w:sz w:val="16"/>
              </w:rPr>
              <w:t xml:space="preserve">Tapo RTSP/ONVIF availability differs by model and power mode; see [SRC-02].</w:t>
            </w:r>
          </w:p>
        </w:tc>
      </w:tr>
    </w:tbl>
    <w:bookmarkEnd w:id="31"/>
    <w:bookmarkEnd w:id="32"/>
    <w:bookmarkStart w:id="35" w:name="system-context-and-users"/>
    <w:p>
      <w:pPr>
        <w:pStyle w:val="Heading2"/>
      </w:pPr>
      <w:r>
        <w:t xml:space="preserve">3. System context and users</w:t>
      </w:r>
    </w:p>
    <w:bookmarkStart w:id="33" w:name="roles"/>
    <w:p>
      <w:pPr>
        <w:pStyle w:val="Heading3"/>
      </w:pPr>
      <w:r>
        <w:t xml:space="preserve">3.1 Roles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2016"/>
        <w:gridCol w:w="7517"/>
      </w:tblGrid>
      <w:tr>
        <w:trPr>
          <w:tblHeader w:val="on"/>
          <w:tblHeader w:val="true"/>
        </w:trPr>
        <w:tc>
          <w:tcPr>
            <w:tcW w:type="dxa" w:w="2016"/>
            <w:vAlign w:val="center"/>
          </w:tcPr>
          <w:p>
            <w:pPr>
              <w:pStyle w:val="Compact"/>
              <w:spacing w:after="20" w:before="0"/>
              <w:jc w:val="left"/>
            </w:pPr>
            <w:r>
              <w:rPr>
                <w:b/>
                <w:sz w:val="16"/>
              </w:rPr>
              <w:t xml:space="preserve">Role</w:t>
            </w:r>
          </w:p>
        </w:tc>
        <w:tc>
          <w:tcPr>
            <w:tcW w:type="dxa" w:w="7517"/>
            <w:vAlign w:val="center"/>
          </w:tcPr>
          <w:p>
            <w:pPr>
              <w:pStyle w:val="Compact"/>
              <w:spacing w:after="20" w:before="0"/>
              <w:jc w:val="left"/>
            </w:pPr>
            <w:r>
              <w:rPr>
                <w:b/>
                <w:sz w:val="16"/>
              </w:rPr>
              <w:t xml:space="preserve">Typical privileges</w:t>
            </w:r>
          </w:p>
        </w:tc>
      </w:tr>
      <w:tr>
        <w:tc>
          <w:tcPr>
            <w:tcW w:type="dxa" w:w="2016"/>
            <w:vAlign w:val="center"/>
          </w:tcPr>
          <w:p>
            <w:pPr>
              <w:pStyle w:val="Compact"/>
              <w:spacing w:after="20" w:before="0"/>
              <w:jc w:val="left"/>
            </w:pPr>
            <w:r>
              <w:rPr>
                <w:sz w:val="16"/>
              </w:rPr>
              <w:t xml:space="preserve">Owner / system administrator</w:t>
            </w:r>
          </w:p>
        </w:tc>
        <w:tc>
          <w:tcPr>
            <w:tcW w:type="dxa" w:w="7517"/>
            <w:vAlign w:val="center"/>
          </w:tcPr>
          <w:p>
            <w:pPr>
              <w:pStyle w:val="Compact"/>
              <w:spacing w:after="20" w:before="0"/>
              <w:jc w:val="left"/>
            </w:pPr>
            <w:r>
              <w:rPr>
                <w:sz w:val="16"/>
              </w:rPr>
              <w:t xml:space="preserve">Configure deployment, users, permissions, models, retention and integration secrets.</w:t>
            </w:r>
          </w:p>
        </w:tc>
      </w:tr>
      <w:tr>
        <w:tc>
          <w:tcPr>
            <w:tcW w:type="dxa" w:w="2016"/>
            <w:vAlign w:val="center"/>
          </w:tcPr>
          <w:p>
            <w:pPr>
              <w:pStyle w:val="Compact"/>
              <w:spacing w:after="20" w:before="0"/>
              <w:jc w:val="left"/>
            </w:pPr>
            <w:r>
              <w:rPr>
                <w:sz w:val="16"/>
              </w:rPr>
              <w:t xml:space="preserve">Operator</w:t>
            </w:r>
          </w:p>
        </w:tc>
        <w:tc>
          <w:tcPr>
            <w:tcW w:type="dxa" w:w="7517"/>
            <w:vAlign w:val="center"/>
          </w:tcPr>
          <w:p>
            <w:pPr>
              <w:pStyle w:val="Compact"/>
              <w:spacing w:after="20" w:before="0"/>
              <w:jc w:val="left"/>
            </w:pPr>
            <w:r>
              <w:rPr>
                <w:sz w:val="16"/>
              </w:rPr>
              <w:t xml:space="preserve">Register authorised sources, create queries, test rules and acknowledge alerts.</w:t>
            </w:r>
          </w:p>
        </w:tc>
      </w:tr>
      <w:tr>
        <w:tc>
          <w:tcPr>
            <w:tcW w:type="dxa" w:w="2016"/>
            <w:vAlign w:val="center"/>
          </w:tcPr>
          <w:p>
            <w:pPr>
              <w:pStyle w:val="Compact"/>
              <w:spacing w:after="20" w:before="0"/>
              <w:jc w:val="left"/>
            </w:pPr>
            <w:r>
              <w:rPr>
                <w:sz w:val="16"/>
              </w:rPr>
              <w:t xml:space="preserve">Viewer</w:t>
            </w:r>
          </w:p>
        </w:tc>
        <w:tc>
          <w:tcPr>
            <w:tcW w:type="dxa" w:w="7517"/>
            <w:vAlign w:val="center"/>
          </w:tcPr>
          <w:p>
            <w:pPr>
              <w:pStyle w:val="Compact"/>
              <w:spacing w:after="20" w:before="0"/>
              <w:jc w:val="left"/>
            </w:pPr>
            <w:r>
              <w:rPr>
                <w:sz w:val="16"/>
              </w:rPr>
              <w:t xml:space="preserve">See authorised dashboards and evidence without changing configuration.</w:t>
            </w:r>
          </w:p>
        </w:tc>
      </w:tr>
      <w:tr>
        <w:tc>
          <w:tcPr>
            <w:tcW w:type="dxa" w:w="2016"/>
            <w:vAlign w:val="center"/>
          </w:tcPr>
          <w:p>
            <w:pPr>
              <w:pStyle w:val="Compact"/>
              <w:spacing w:after="20" w:before="0"/>
              <w:jc w:val="left"/>
            </w:pPr>
            <w:r>
              <w:rPr>
                <w:sz w:val="16"/>
              </w:rPr>
              <w:t xml:space="preserve">Auditor</w:t>
            </w:r>
          </w:p>
        </w:tc>
        <w:tc>
          <w:tcPr>
            <w:tcW w:type="dxa" w:w="7517"/>
            <w:vAlign w:val="center"/>
          </w:tcPr>
          <w:p>
            <w:pPr>
              <w:pStyle w:val="Compact"/>
              <w:spacing w:after="20" w:before="0"/>
              <w:jc w:val="left"/>
            </w:pPr>
            <w:r>
              <w:rPr>
                <w:sz w:val="16"/>
              </w:rPr>
              <w:t xml:space="preserve">Read configuration revisions, alerts and audit records within approved scope.</w:t>
            </w:r>
          </w:p>
        </w:tc>
      </w:tr>
      <w:tr>
        <w:tc>
          <w:tcPr>
            <w:tcW w:type="dxa" w:w="2016"/>
            <w:vAlign w:val="center"/>
          </w:tcPr>
          <w:p>
            <w:pPr>
              <w:pStyle w:val="Compact"/>
              <w:spacing w:after="20" w:before="0"/>
              <w:jc w:val="left"/>
            </w:pPr>
            <w:r>
              <w:rPr>
                <w:sz w:val="16"/>
              </w:rPr>
              <w:t xml:space="preserve">Processing worker</w:t>
            </w:r>
          </w:p>
        </w:tc>
        <w:tc>
          <w:tcPr>
            <w:tcW w:type="dxa" w:w="7517"/>
            <w:vAlign w:val="center"/>
          </w:tcPr>
          <w:p>
            <w:pPr>
              <w:pStyle w:val="Compact"/>
              <w:spacing w:after="20" w:before="0"/>
              <w:jc w:val="left"/>
            </w:pPr>
            <w:r>
              <w:rPr>
                <w:sz w:val="16"/>
              </w:rPr>
              <w:t xml:space="preserve">Machine identity restricted to capture/inference/storage actions explicitly granted.</w:t>
            </w:r>
          </w:p>
        </w:tc>
      </w:tr>
    </w:tbl>
    <w:p>
      <w:pPr>
        <w:pStyle w:val="BodyText"/>
      </w:pPr>
      <w:r>
        <w:t xml:space="preserve">One person may have several roles. Work installations may require additional departmental boundaries. All denied access attempts shall be audited without copying sensitive credentials.</w:t>
      </w:r>
    </w:p>
    <w:bookmarkEnd w:id="33"/>
    <w:bookmarkStart w:id="34" w:name="terminology"/>
    <w:p>
      <w:pPr>
        <w:pStyle w:val="Heading3"/>
      </w:pPr>
      <w:r>
        <w:t xml:space="preserve">3.2 Terminology</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2016"/>
        <w:gridCol w:w="7517"/>
      </w:tblGrid>
      <w:tr>
        <w:trPr>
          <w:tblHeader w:val="on"/>
          <w:tblHeader w:val="true"/>
        </w:trPr>
        <w:tc>
          <w:tcPr>
            <w:tcW w:type="dxa" w:w="2016"/>
            <w:vAlign w:val="center"/>
          </w:tcPr>
          <w:p>
            <w:pPr>
              <w:pStyle w:val="Compact"/>
              <w:spacing w:after="20" w:before="0"/>
              <w:jc w:val="left"/>
            </w:pPr>
            <w:r>
              <w:rPr>
                <w:b/>
                <w:sz w:val="16"/>
              </w:rPr>
              <w:t xml:space="preserve">Term</w:t>
            </w:r>
          </w:p>
        </w:tc>
        <w:tc>
          <w:tcPr>
            <w:tcW w:type="dxa" w:w="7517"/>
            <w:vAlign w:val="center"/>
          </w:tcPr>
          <w:p>
            <w:pPr>
              <w:pStyle w:val="Compact"/>
              <w:spacing w:after="20" w:before="0"/>
              <w:jc w:val="left"/>
            </w:pPr>
            <w:r>
              <w:rPr>
                <w:b/>
                <w:sz w:val="16"/>
              </w:rPr>
              <w:t xml:space="preserve">Definition</w:t>
            </w:r>
          </w:p>
        </w:tc>
      </w:tr>
      <w:tr>
        <w:tc>
          <w:tcPr>
            <w:tcW w:type="dxa" w:w="2016"/>
            <w:vAlign w:val="center"/>
          </w:tcPr>
          <w:p>
            <w:pPr>
              <w:pStyle w:val="Compact"/>
              <w:spacing w:after="20" w:before="0"/>
              <w:jc w:val="left"/>
            </w:pPr>
            <w:r>
              <w:rPr>
                <w:sz w:val="16"/>
              </w:rPr>
              <w:t xml:space="preserve">Source</w:t>
            </w:r>
          </w:p>
        </w:tc>
        <w:tc>
          <w:tcPr>
            <w:tcW w:type="dxa" w:w="7517"/>
            <w:vAlign w:val="center"/>
          </w:tcPr>
          <w:p>
            <w:pPr>
              <w:pStyle w:val="Compact"/>
              <w:spacing w:after="20" w:before="0"/>
              <w:jc w:val="left"/>
            </w:pPr>
            <w:r>
              <w:rPr>
                <w:sz w:val="16"/>
              </w:rPr>
              <w:t xml:space="preserve">An addressable image/video producer or imported file.</w:t>
            </w:r>
          </w:p>
        </w:tc>
      </w:tr>
      <w:tr>
        <w:tc>
          <w:tcPr>
            <w:tcW w:type="dxa" w:w="2016"/>
            <w:vAlign w:val="center"/>
          </w:tcPr>
          <w:p>
            <w:pPr>
              <w:pStyle w:val="Compact"/>
              <w:spacing w:after="20" w:before="0"/>
              <w:jc w:val="left"/>
            </w:pPr>
            <w:r>
              <w:rPr>
                <w:sz w:val="16"/>
              </w:rPr>
              <w:t xml:space="preserve">Query</w:t>
            </w:r>
          </w:p>
        </w:tc>
        <w:tc>
          <w:tcPr>
            <w:tcW w:type="dxa" w:w="7517"/>
            <w:vAlign w:val="center"/>
          </w:tcPr>
          <w:p>
            <w:pPr>
              <w:pStyle w:val="Compact"/>
              <w:spacing w:after="20" w:before="0"/>
              <w:jc w:val="left"/>
            </w:pPr>
            <w:r>
              <w:rPr>
                <w:sz w:val="16"/>
              </w:rPr>
              <w:t xml:space="preserve">User-defined question associated with a source and an answer contract.</w:t>
            </w:r>
          </w:p>
        </w:tc>
      </w:tr>
      <w:tr>
        <w:tc>
          <w:tcPr>
            <w:tcW w:type="dxa" w:w="2016"/>
            <w:vAlign w:val="center"/>
          </w:tcPr>
          <w:p>
            <w:pPr>
              <w:pStyle w:val="Compact"/>
              <w:spacing w:after="20" w:before="0"/>
              <w:jc w:val="left"/>
            </w:pPr>
            <w:r>
              <w:rPr>
                <w:sz w:val="16"/>
              </w:rPr>
              <w:t xml:space="preserve">Query version</w:t>
            </w:r>
          </w:p>
        </w:tc>
        <w:tc>
          <w:tcPr>
            <w:tcW w:type="dxa" w:w="7517"/>
            <w:vAlign w:val="center"/>
          </w:tcPr>
          <w:p>
            <w:pPr>
              <w:pStyle w:val="Compact"/>
              <w:spacing w:after="20" w:before="0"/>
              <w:jc w:val="left"/>
            </w:pPr>
            <w:r>
              <w:rPr>
                <w:sz w:val="16"/>
              </w:rPr>
              <w:t xml:space="preserve">Immutable version of text, criteria, ROI and evaluation policy.</w:t>
            </w:r>
          </w:p>
        </w:tc>
      </w:tr>
      <w:tr>
        <w:tc>
          <w:tcPr>
            <w:tcW w:type="dxa" w:w="2016"/>
            <w:vAlign w:val="center"/>
          </w:tcPr>
          <w:p>
            <w:pPr>
              <w:pStyle w:val="Compact"/>
              <w:spacing w:after="20" w:before="0"/>
              <w:jc w:val="left"/>
            </w:pPr>
            <w:r>
              <w:rPr>
                <w:sz w:val="16"/>
              </w:rPr>
              <w:t xml:space="preserve">Observation</w:t>
            </w:r>
          </w:p>
        </w:tc>
        <w:tc>
          <w:tcPr>
            <w:tcW w:type="dxa" w:w="7517"/>
            <w:vAlign w:val="center"/>
          </w:tcPr>
          <w:p>
            <w:pPr>
              <w:pStyle w:val="Compact"/>
              <w:spacing w:after="20" w:before="0"/>
              <w:jc w:val="left"/>
            </w:pPr>
            <w:r>
              <w:rPr>
                <w:sz w:val="16"/>
              </w:rPr>
              <w:t xml:space="preserve">Timestamped inference result or explicit unknown/error for one query version.</w:t>
            </w:r>
          </w:p>
        </w:tc>
      </w:tr>
      <w:tr>
        <w:tc>
          <w:tcPr>
            <w:tcW w:type="dxa" w:w="2016"/>
            <w:vAlign w:val="center"/>
          </w:tcPr>
          <w:p>
            <w:pPr>
              <w:pStyle w:val="Compact"/>
              <w:spacing w:after="20" w:before="0"/>
              <w:jc w:val="left"/>
            </w:pPr>
            <w:r>
              <w:rPr>
                <w:sz w:val="16"/>
              </w:rPr>
              <w:t xml:space="preserve">State</w:t>
            </w:r>
          </w:p>
        </w:tc>
        <w:tc>
          <w:tcPr>
            <w:tcW w:type="dxa" w:w="7517"/>
            <w:vAlign w:val="center"/>
          </w:tcPr>
          <w:p>
            <w:pPr>
              <w:pStyle w:val="Compact"/>
              <w:spacing w:after="20" w:before="0"/>
              <w:jc w:val="left"/>
            </w:pPr>
            <w:r>
              <w:rPr>
                <w:sz w:val="16"/>
              </w:rPr>
              <w:t xml:space="preserve">Derived current condition such as inactive, pending, active or unknown.</w:t>
            </w:r>
          </w:p>
        </w:tc>
      </w:tr>
      <w:tr>
        <w:tc>
          <w:tcPr>
            <w:tcW w:type="dxa" w:w="2016"/>
            <w:vAlign w:val="center"/>
          </w:tcPr>
          <w:p>
            <w:pPr>
              <w:pStyle w:val="Compact"/>
              <w:spacing w:after="20" w:before="0"/>
              <w:jc w:val="left"/>
            </w:pPr>
            <w:r>
              <w:rPr>
                <w:sz w:val="16"/>
              </w:rPr>
              <w:t xml:space="preserve">Event / episode</w:t>
            </w:r>
          </w:p>
        </w:tc>
        <w:tc>
          <w:tcPr>
            <w:tcW w:type="dxa" w:w="7517"/>
            <w:vAlign w:val="center"/>
          </w:tcPr>
          <w:p>
            <w:pPr>
              <w:pStyle w:val="Compact"/>
              <w:spacing w:after="20" w:before="0"/>
              <w:jc w:val="left"/>
            </w:pPr>
            <w:r>
              <w:rPr>
                <w:sz w:val="16"/>
              </w:rPr>
              <w:t xml:space="preserve">Time-bounded confirmed condition or significant state transition.</w:t>
            </w:r>
          </w:p>
        </w:tc>
      </w:tr>
      <w:tr>
        <w:tc>
          <w:tcPr>
            <w:tcW w:type="dxa" w:w="2016"/>
            <w:vAlign w:val="center"/>
          </w:tcPr>
          <w:p>
            <w:pPr>
              <w:pStyle w:val="Compact"/>
              <w:spacing w:after="20" w:before="0"/>
              <w:jc w:val="left"/>
            </w:pPr>
            <w:r>
              <w:rPr>
                <w:sz w:val="16"/>
              </w:rPr>
              <w:t xml:space="preserve">Metric</w:t>
            </w:r>
          </w:p>
        </w:tc>
        <w:tc>
          <w:tcPr>
            <w:tcW w:type="dxa" w:w="7517"/>
            <w:vAlign w:val="center"/>
          </w:tcPr>
          <w:p>
            <w:pPr>
              <w:pStyle w:val="Compact"/>
              <w:spacing w:after="20" w:before="0"/>
              <w:jc w:val="left"/>
            </w:pPr>
            <w:r>
              <w:rPr>
                <w:sz w:val="16"/>
              </w:rPr>
              <w:t xml:space="preserve">Computed measure, such as duration, event count or occupancy.</w:t>
            </w:r>
          </w:p>
        </w:tc>
      </w:tr>
      <w:tr>
        <w:tc>
          <w:tcPr>
            <w:tcW w:type="dxa" w:w="2016"/>
            <w:vAlign w:val="center"/>
          </w:tcPr>
          <w:p>
            <w:pPr>
              <w:pStyle w:val="Compact"/>
              <w:spacing w:after="20" w:before="0"/>
              <w:jc w:val="left"/>
            </w:pPr>
            <w:r>
              <w:rPr>
                <w:sz w:val="16"/>
              </w:rPr>
              <w:t xml:space="preserve">Evidence</w:t>
            </w:r>
          </w:p>
        </w:tc>
        <w:tc>
          <w:tcPr>
            <w:tcW w:type="dxa" w:w="7517"/>
            <w:vAlign w:val="center"/>
          </w:tcPr>
          <w:p>
            <w:pPr>
              <w:pStyle w:val="Compact"/>
              <w:spacing w:after="20" w:before="0"/>
              <w:jc w:val="left"/>
            </w:pPr>
            <w:r>
              <w:rPr>
                <w:sz w:val="16"/>
              </w:rPr>
              <w:t xml:space="preserve">Retained original/cropped frame or clip associated with an observation/event.</w:t>
            </w:r>
          </w:p>
        </w:tc>
      </w:tr>
      <w:tr>
        <w:tc>
          <w:tcPr>
            <w:tcW w:type="dxa" w:w="2016"/>
            <w:vAlign w:val="center"/>
          </w:tcPr>
          <w:p>
            <w:pPr>
              <w:pStyle w:val="Compact"/>
              <w:spacing w:after="20" w:before="0"/>
              <w:jc w:val="left"/>
            </w:pPr>
            <w:r>
              <w:rPr>
                <w:sz w:val="16"/>
              </w:rPr>
              <w:t xml:space="preserve">Adapter</w:t>
            </w:r>
          </w:p>
        </w:tc>
        <w:tc>
          <w:tcPr>
            <w:tcW w:type="dxa" w:w="7517"/>
            <w:vAlign w:val="center"/>
          </w:tcPr>
          <w:p>
            <w:pPr>
              <w:pStyle w:val="Compact"/>
              <w:spacing w:after="20" w:before="0"/>
              <w:jc w:val="left"/>
            </w:pPr>
            <w:r>
              <w:rPr>
                <w:sz w:val="16"/>
              </w:rPr>
              <w:t xml:space="preserve">Plugin that exposes a source or processing capability through a contract.</w:t>
            </w:r>
          </w:p>
        </w:tc>
      </w:tr>
      <w:tr>
        <w:tc>
          <w:tcPr>
            <w:tcW w:type="dxa" w:w="2016"/>
            <w:vAlign w:val="center"/>
          </w:tcPr>
          <w:p>
            <w:pPr>
              <w:pStyle w:val="Compact"/>
              <w:spacing w:after="20" w:before="0"/>
              <w:jc w:val="left"/>
            </w:pPr>
            <w:r>
              <w:rPr>
                <w:sz w:val="16"/>
              </w:rPr>
              <w:t xml:space="preserve">Rule</w:t>
            </w:r>
          </w:p>
        </w:tc>
        <w:tc>
          <w:tcPr>
            <w:tcW w:type="dxa" w:w="7517"/>
            <w:vAlign w:val="center"/>
          </w:tcPr>
          <w:p>
            <w:pPr>
              <w:pStyle w:val="Compact"/>
              <w:spacing w:after="20" w:before="0"/>
              <w:jc w:val="left"/>
            </w:pPr>
            <w:r>
              <w:rPr>
                <w:sz w:val="16"/>
              </w:rPr>
              <w:t xml:space="preserve">User-configured logic that evaluates states/metrics and may trigger an action.</w:t>
            </w:r>
          </w:p>
        </w:tc>
      </w:tr>
    </w:tbl>
    <w:bookmarkEnd w:id="34"/>
    <w:bookmarkEnd w:id="35"/>
    <w:bookmarkStart w:id="43" w:name="functional-requirements"/>
    <w:p>
      <w:pPr>
        <w:pStyle w:val="Heading2"/>
      </w:pPr>
      <w:r>
        <w:t xml:space="preserve">4. Functional requirements</w:t>
      </w:r>
    </w:p>
    <w:p>
      <w:pPr>
        <w:pStyle w:val="FirstParagraph"/>
      </w:pPr>
      <w:r>
        <w:rPr>
          <w:b/>
          <w:bCs/>
        </w:rPr>
        <w:t xml:space="preserve">Scope note:</w:t>
      </w:r>
      <w:r>
        <w:t xml:space="preserve"> </w:t>
      </w:r>
      <w:r>
        <w:t xml:space="preserve">The requirements below describe the first</w:t>
      </w:r>
      <w:r>
        <w:t xml:space="preserve"> </w:t>
      </w:r>
      <w:r>
        <w:rPr>
          <w:b/>
          <w:bCs/>
        </w:rPr>
        <w:t xml:space="preserve">complete MVP release</w:t>
      </w:r>
      <w:r>
        <w:t xml:space="preserve">, not the immediate Codex Phase 0 assignment. For Phase 0, use</w:t>
      </w:r>
      <w:r>
        <w:t xml:space="preserve"> </w:t>
      </w:r>
      <w:r>
        <w:rPr>
          <w:rStyle w:val="VerbatimChar"/>
        </w:rPr>
        <w:t xml:space="preserve">P0-01</w:t>
      </w:r>
      <w:r>
        <w:t xml:space="preserve">–</w:t>
      </w:r>
      <w:r>
        <w:rPr>
          <w:rStyle w:val="VerbatimChar"/>
        </w:rPr>
        <w:t xml:space="preserve">P0-10</w:t>
      </w:r>
      <w:r>
        <w:t xml:space="preserve"> </w:t>
      </w:r>
      <w:r>
        <w:t xml:space="preserve">in</w:t>
      </w:r>
      <w:r>
        <w:t xml:space="preserve"> </w:t>
      </w:r>
      <w:r>
        <w:rPr>
          <w:rStyle w:val="VerbatimChar"/>
        </w:rPr>
        <w:t xml:space="preserve">CODEX_PHASE_0.md</w:t>
      </w:r>
      <w:r>
        <w:t xml:space="preserve"> </w:t>
      </w:r>
      <w:r>
        <w:t xml:space="preserve">and stop at its exit gate.</w:t>
      </w:r>
    </w:p>
    <w:p>
      <w:pPr>
        <w:pStyle w:val="BodyText"/>
      </w:pPr>
      <w:r>
        <w:rPr>
          <w:b/>
          <w:bCs/>
        </w:rPr>
        <w:t xml:space="preserve">Notation:</w:t>
      </w:r>
      <w:r>
        <w:t xml:space="preserve"> </w:t>
      </w:r>
      <w:r>
        <w:rPr>
          <w:b/>
          <w:bCs/>
        </w:rPr>
        <w:t xml:space="preserve">MVP</w:t>
      </w:r>
      <w:r>
        <w:t xml:space="preserve"> </w:t>
      </w:r>
      <w:r>
        <w:t xml:space="preserve">means required for first release.</w:t>
      </w:r>
      <w:r>
        <w:t xml:space="preserve"> </w:t>
      </w:r>
      <w:r>
        <w:rPr>
          <w:b/>
          <w:bCs/>
        </w:rPr>
        <w:t xml:space="preserve">Later</w:t>
      </w:r>
      <w:r>
        <w:t xml:space="preserve"> </w:t>
      </w:r>
      <w:r>
        <w:t xml:space="preserve">means supported by the architecture but not required in the first release. Each row includes a directly testable acceptance condition; fuller integration scenarios appear in §14. Unless indicated otherwise, all requirements use</w:t>
      </w:r>
      <w:r>
        <w:t xml:space="preserve"> </w:t>
      </w:r>
      <w:r>
        <w:t xml:space="preserve">“</w:t>
      </w:r>
      <w:r>
        <w:t xml:space="preserve">shall</w:t>
      </w:r>
      <w:r>
        <w:t xml:space="preserve">”</w:t>
      </w:r>
      <w:r>
        <w:t xml:space="preserve">.</w:t>
      </w:r>
    </w:p>
    <w:bookmarkStart w:id="36" w:name="source-acquisition-and-health"/>
    <w:p>
      <w:pPr>
        <w:pStyle w:val="Heading3"/>
      </w:pPr>
      <w:r>
        <w:t xml:space="preserve">4.1 Source acquisition and health</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81"/>
        <w:gridCol w:w="907"/>
        <w:gridCol w:w="7445"/>
      </w:tblGrid>
      <w:tr>
        <w:trPr>
          <w:tblHeader w:val="on"/>
          <w:tblHeader w:val="true"/>
        </w:trPr>
        <w:tc>
          <w:tcPr>
            <w:tcW w:type="dxa" w:w="1181"/>
            <w:vAlign w:val="center"/>
          </w:tcPr>
          <w:p>
            <w:pPr>
              <w:pStyle w:val="Compact"/>
              <w:spacing w:after="20" w:before="0"/>
              <w:jc w:val="left"/>
            </w:pPr>
            <w:r>
              <w:rPr>
                <w:b/>
                <w:sz w:val="16"/>
              </w:rPr>
              <w:t xml:space="preserve">ID</w:t>
            </w:r>
          </w:p>
        </w:tc>
        <w:tc>
          <w:tcPr>
            <w:tcW w:type="dxa" w:w="907"/>
            <w:vAlign w:val="center"/>
          </w:tcPr>
          <w:p>
            <w:pPr>
              <w:pStyle w:val="Compact"/>
              <w:spacing w:after="20" w:before="0"/>
              <w:jc w:val="left"/>
            </w:pPr>
            <w:r>
              <w:rPr>
                <w:b/>
                <w:sz w:val="16"/>
              </w:rPr>
              <w:t xml:space="preserve">Phase</w:t>
            </w:r>
          </w:p>
        </w:tc>
        <w:tc>
          <w:tcPr>
            <w:tcW w:type="dxa" w:w="7445"/>
            <w:vAlign w:val="center"/>
          </w:tcPr>
          <w:p>
            <w:pPr>
              <w:pStyle w:val="Compact"/>
              <w:spacing w:after="20" w:before="0"/>
              <w:jc w:val="left"/>
            </w:pPr>
            <w:r>
              <w:rPr>
                <w:b/>
                <w:sz w:val="16"/>
              </w:rPr>
              <w:t xml:space="preserve">Requirement and acceptance condition</w:t>
            </w:r>
          </w:p>
        </w:tc>
      </w:tr>
      <w:tr>
        <w:tc>
          <w:tcPr>
            <w:tcW w:type="dxa" w:w="1181"/>
            <w:vAlign w:val="center"/>
          </w:tcPr>
          <w:p>
            <w:pPr>
              <w:pStyle w:val="Compact"/>
              <w:spacing w:after="20" w:before="0"/>
              <w:jc w:val="left"/>
            </w:pPr>
            <w:r>
              <w:rPr>
                <w:sz w:val="16"/>
              </w:rPr>
              <w:t xml:space="preserve">INP-001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Register sources with unique ID, friendly name, type and authorised owner scope; reject duplicate IDs.</w:t>
            </w:r>
          </w:p>
        </w:tc>
      </w:tr>
      <w:tr>
        <w:tc>
          <w:tcPr>
            <w:tcW w:type="dxa" w:w="1181"/>
            <w:vAlign w:val="center"/>
          </w:tcPr>
          <w:p>
            <w:pPr>
              <w:pStyle w:val="Compact"/>
              <w:spacing w:after="20" w:before="0"/>
              <w:jc w:val="left"/>
            </w:pPr>
            <w:r>
              <w:rPr>
                <w:sz w:val="16"/>
              </w:rPr>
              <w:t xml:space="preserve">INP-002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Open a permitted RTSP stream and obtain a timestamped frame; prove using a test camera or RTSP fixture.</w:t>
            </w:r>
          </w:p>
        </w:tc>
      </w:tr>
      <w:tr>
        <w:tc>
          <w:tcPr>
            <w:tcW w:type="dxa" w:w="1181"/>
            <w:vAlign w:val="center"/>
          </w:tcPr>
          <w:p>
            <w:pPr>
              <w:pStyle w:val="Compact"/>
              <w:spacing w:after="20" w:before="0"/>
              <w:jc w:val="left"/>
            </w:pPr>
            <w:r>
              <w:rPr>
                <w:sz w:val="16"/>
              </w:rPr>
              <w:t xml:space="preserve">INP-003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Poll an HTTP(S) JPEG/PNG snapshot URL with configured timeout; show success or error.</w:t>
            </w:r>
          </w:p>
        </w:tc>
      </w:tr>
      <w:tr>
        <w:tc>
          <w:tcPr>
            <w:tcW w:type="dxa" w:w="1181"/>
            <w:vAlign w:val="center"/>
          </w:tcPr>
          <w:p>
            <w:pPr>
              <w:pStyle w:val="Compact"/>
              <w:spacing w:after="20" w:before="0"/>
              <w:jc w:val="left"/>
            </w:pPr>
            <w:r>
              <w:rPr>
                <w:sz w:val="16"/>
              </w:rPr>
              <w:t xml:space="preserve">INP-004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Capture an image from a locally attached supported USB webcam; enumerate devices and preview one.</w:t>
            </w:r>
          </w:p>
        </w:tc>
      </w:tr>
      <w:tr>
        <w:tc>
          <w:tcPr>
            <w:tcW w:type="dxa" w:w="1181"/>
            <w:vAlign w:val="center"/>
          </w:tcPr>
          <w:p>
            <w:pPr>
              <w:pStyle w:val="Compact"/>
              <w:spacing w:after="20" w:before="0"/>
              <w:jc w:val="left"/>
            </w:pPr>
            <w:r>
              <w:rPr>
                <w:sz w:val="16"/>
              </w:rPr>
              <w:t xml:space="preserve">INP-005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Import still images and video files without modification to originals; preserve source metadata.</w:t>
            </w:r>
          </w:p>
        </w:tc>
      </w:tr>
      <w:tr>
        <w:tc>
          <w:tcPr>
            <w:tcW w:type="dxa" w:w="1181"/>
            <w:vAlign w:val="center"/>
          </w:tcPr>
          <w:p>
            <w:pPr>
              <w:pStyle w:val="Compact"/>
              <w:spacing w:after="20" w:before="0"/>
              <w:jc w:val="left"/>
            </w:pPr>
            <w:r>
              <w:rPr>
                <w:sz w:val="16"/>
              </w:rPr>
              <w:t xml:space="preserve">INP-006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Validate connection parameters and offer</w:t>
            </w:r>
            <w:r>
              <w:rPr>
                <w:sz w:val="16"/>
              </w:rPr>
              <w:t xml:space="preserve"> </w:t>
            </w:r>
            <w:r>
              <w:rPr>
                <w:sz w:val="16"/>
              </w:rPr>
              <w:t xml:space="preserve">“</w:t>
            </w:r>
            <w:r>
              <w:rPr>
                <w:sz w:val="16"/>
              </w:rPr>
              <w:t xml:space="preserve">Test connection</w:t>
            </w:r>
            <w:r>
              <w:rPr>
                <w:sz w:val="16"/>
              </w:rPr>
              <w:t xml:space="preserve">”</w:t>
            </w:r>
            <w:r>
              <w:rPr>
                <w:sz w:val="16"/>
              </w:rPr>
              <w:t xml:space="preserve">; no test shall require saving a question.</w:t>
            </w:r>
          </w:p>
        </w:tc>
      </w:tr>
      <w:tr>
        <w:tc>
          <w:tcPr>
            <w:tcW w:type="dxa" w:w="1181"/>
            <w:vAlign w:val="center"/>
          </w:tcPr>
          <w:p>
            <w:pPr>
              <w:pStyle w:val="Compact"/>
              <w:spacing w:after="20" w:before="0"/>
              <w:jc w:val="left"/>
            </w:pPr>
            <w:r>
              <w:rPr>
                <w:sz w:val="16"/>
              </w:rPr>
              <w:t xml:space="preserve">INP-007</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Expose CONNECTING, HEALTHY, DEGRADED, DISCONNECTED and DISABLED source states with last-success time.</w:t>
            </w:r>
          </w:p>
        </w:tc>
      </w:tr>
      <w:tr>
        <w:tc>
          <w:tcPr>
            <w:tcW w:type="dxa" w:w="1181"/>
            <w:vAlign w:val="center"/>
          </w:tcPr>
          <w:p>
            <w:pPr>
              <w:pStyle w:val="Compact"/>
              <w:spacing w:after="20" w:before="0"/>
              <w:jc w:val="left"/>
            </w:pPr>
            <w:r>
              <w:rPr>
                <w:sz w:val="16"/>
              </w:rPr>
              <w:t xml:space="preserve">INP-008</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Retry transient acquisition failures with capped exponential backoff; a disconnected source shall not generate fabricated negative answers.</w:t>
            </w:r>
          </w:p>
        </w:tc>
      </w:tr>
      <w:tr>
        <w:tc>
          <w:tcPr>
            <w:tcW w:type="dxa" w:w="1181"/>
            <w:vAlign w:val="center"/>
          </w:tcPr>
          <w:p>
            <w:pPr>
              <w:pStyle w:val="Compact"/>
              <w:spacing w:after="20" w:before="0"/>
              <w:jc w:val="left"/>
            </w:pPr>
            <w:r>
              <w:rPr>
                <w:sz w:val="16"/>
              </w:rPr>
              <w:t xml:space="preserve">INP-009</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Permit a per-source polling/sampling schedule and enforce a global backpressure limit.</w:t>
            </w:r>
          </w:p>
        </w:tc>
      </w:tr>
      <w:tr>
        <w:tc>
          <w:tcPr>
            <w:tcW w:type="dxa" w:w="1181"/>
            <w:vAlign w:val="center"/>
          </w:tcPr>
          <w:p>
            <w:pPr>
              <w:pStyle w:val="Compact"/>
              <w:spacing w:after="20" w:before="0"/>
              <w:jc w:val="left"/>
            </w:pPr>
            <w:r>
              <w:rPr>
                <w:sz w:val="16"/>
              </w:rPr>
              <w:t xml:space="preserve">INP-010</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Support image rotation, optional resize, one or more ROI rectangles and privacy masks before inference/storage.</w:t>
            </w:r>
          </w:p>
        </w:tc>
      </w:tr>
      <w:tr>
        <w:tc>
          <w:tcPr>
            <w:tcW w:type="dxa" w:w="1181"/>
            <w:vAlign w:val="center"/>
          </w:tcPr>
          <w:p>
            <w:pPr>
              <w:pStyle w:val="Compact"/>
              <w:spacing w:after="20" w:before="0"/>
              <w:jc w:val="left"/>
            </w:pPr>
            <w:r>
              <w:rPr>
                <w:sz w:val="16"/>
              </w:rPr>
              <w:t xml:space="preserve">INP-011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Keep credentials out of displayed stream URLs, logs, export files and browser API payloads.</w:t>
            </w:r>
          </w:p>
        </w:tc>
      </w:tr>
      <w:tr>
        <w:tc>
          <w:tcPr>
            <w:tcW w:type="dxa" w:w="1181"/>
            <w:vAlign w:val="center"/>
          </w:tcPr>
          <w:p>
            <w:pPr>
              <w:pStyle w:val="Compact"/>
              <w:spacing w:after="20" w:before="0"/>
              <w:jc w:val="left"/>
            </w:pPr>
            <w:r>
              <w:rPr>
                <w:sz w:val="16"/>
              </w:rPr>
              <w:t xml:space="preserve">INP-012</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Discover and test compatible ONVIF Profile S/T devices without assuming all discovery devices are supported.</w:t>
            </w:r>
          </w:p>
        </w:tc>
      </w:tr>
      <w:tr>
        <w:tc>
          <w:tcPr>
            <w:tcW w:type="dxa" w:w="1181"/>
            <w:vAlign w:val="center"/>
          </w:tcPr>
          <w:p>
            <w:pPr>
              <w:pStyle w:val="Compact"/>
              <w:spacing w:after="20" w:before="0"/>
              <w:jc w:val="left"/>
            </w:pPr>
            <w:r>
              <w:rPr>
                <w:sz w:val="16"/>
              </w:rPr>
              <w:t xml:space="preserve">INP-013</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Add remote agents and protocol adapters without changing core observation storage.</w:t>
            </w:r>
          </w:p>
        </w:tc>
      </w:tr>
      <w:tr>
        <w:tc>
          <w:tcPr>
            <w:tcW w:type="dxa" w:w="1181"/>
            <w:vAlign w:val="center"/>
          </w:tcPr>
          <w:p>
            <w:pPr>
              <w:pStyle w:val="Compact"/>
              <w:spacing w:after="20" w:before="0"/>
              <w:jc w:val="left"/>
            </w:pPr>
            <w:r>
              <w:rPr>
                <w:sz w:val="16"/>
              </w:rPr>
              <w:t xml:space="preserve">INP-014</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Support motion/event-triggered capture when upstream hardware or an adapter provides reliable events.</w:t>
            </w:r>
          </w:p>
        </w:tc>
      </w:tr>
    </w:tbl>
    <w:bookmarkEnd w:id="36"/>
    <w:bookmarkStart w:id="37" w:name="user-questions-and-decision-contracts"/>
    <w:p>
      <w:pPr>
        <w:pStyle w:val="Heading3"/>
      </w:pPr>
      <w:r>
        <w:t xml:space="preserve">4.2 User questions and decision contracts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81"/>
        <w:gridCol w:w="907"/>
        <w:gridCol w:w="7445"/>
      </w:tblGrid>
      <w:tr>
        <w:trPr>
          <w:tblHeader w:val="on"/>
          <w:tblHeader w:val="true"/>
        </w:trPr>
        <w:tc>
          <w:tcPr>
            <w:tcW w:type="dxa" w:w="1181"/>
            <w:vAlign w:val="center"/>
          </w:tcPr>
          <w:p>
            <w:pPr>
              <w:pStyle w:val="Compact"/>
              <w:spacing w:after="20" w:before="0"/>
              <w:jc w:val="left"/>
            </w:pPr>
            <w:r>
              <w:rPr>
                <w:b/>
                <w:sz w:val="16"/>
              </w:rPr>
              <w:t xml:space="preserve">ID</w:t>
            </w:r>
          </w:p>
        </w:tc>
        <w:tc>
          <w:tcPr>
            <w:tcW w:type="dxa" w:w="907"/>
            <w:vAlign w:val="center"/>
          </w:tcPr>
          <w:p>
            <w:pPr>
              <w:pStyle w:val="Compact"/>
              <w:spacing w:after="20" w:before="0"/>
              <w:jc w:val="left"/>
            </w:pPr>
            <w:r>
              <w:rPr>
                <w:b/>
                <w:sz w:val="16"/>
              </w:rPr>
              <w:t xml:space="preserve">Phase</w:t>
            </w:r>
          </w:p>
        </w:tc>
        <w:tc>
          <w:tcPr>
            <w:tcW w:type="dxa" w:w="7445"/>
            <w:vAlign w:val="center"/>
          </w:tcPr>
          <w:p>
            <w:pPr>
              <w:pStyle w:val="Compact"/>
              <w:spacing w:after="20" w:before="0"/>
              <w:jc w:val="left"/>
            </w:pPr>
            <w:r>
              <w:rPr>
                <w:b/>
                <w:sz w:val="16"/>
              </w:rPr>
              <w:t xml:space="preserve">Requirement and acceptance condition</w:t>
            </w:r>
          </w:p>
        </w:tc>
      </w:tr>
      <w:tr>
        <w:tc>
          <w:tcPr>
            <w:tcW w:type="dxa" w:w="1181"/>
            <w:vAlign w:val="center"/>
          </w:tcPr>
          <w:p>
            <w:pPr>
              <w:pStyle w:val="Compact"/>
              <w:spacing w:after="20" w:before="0"/>
              <w:jc w:val="left"/>
            </w:pPr>
            <w:r>
              <w:rPr>
                <w:sz w:val="16"/>
              </w:rPr>
              <w:t xml:space="preserve">QRY-001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Allow multiple active queries per source; demonstrate at least three configured queries on one frame.</w:t>
            </w:r>
          </w:p>
        </w:tc>
      </w:tr>
      <w:tr>
        <w:tc>
          <w:tcPr>
            <w:tcW w:type="dxa" w:w="1181"/>
            <w:vAlign w:val="center"/>
          </w:tcPr>
          <w:p>
            <w:pPr>
              <w:pStyle w:val="Compact"/>
              <w:spacing w:after="20" w:before="0"/>
              <w:jc w:val="left"/>
            </w:pPr>
            <w:r>
              <w:rPr>
                <w:sz w:val="16"/>
              </w:rPr>
              <w:t xml:space="preserve">QRY-002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Let users enter, validate, edit, enable and disable their own question text.</w:t>
            </w:r>
          </w:p>
        </w:tc>
      </w:tr>
      <w:tr>
        <w:tc>
          <w:tcPr>
            <w:tcW w:type="dxa" w:w="1181"/>
            <w:vAlign w:val="center"/>
          </w:tcPr>
          <w:p>
            <w:pPr>
              <w:pStyle w:val="Compact"/>
              <w:spacing w:after="20" w:before="0"/>
              <w:jc w:val="left"/>
            </w:pPr>
            <w:r>
              <w:rPr>
                <w:sz w:val="16"/>
              </w:rPr>
              <w:t xml:space="preserve">QRY-003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Support</w:t>
            </w:r>
            <w:r>
              <w:rPr>
                <w:sz w:val="16"/>
              </w:rPr>
              <w:t xml:space="preserve"> </w:t>
            </w:r>
            <w:r>
              <w:rPr>
                <w:rStyle w:val="VerbatimChar"/>
                <w:sz w:val="16"/>
              </w:rPr>
              <w:t xml:space="preserve">binary</w:t>
            </w:r>
            <w:r>
              <w:rPr>
                <w:sz w:val="16"/>
              </w:rPr>
              <w:t xml:space="preserve"> </w:t>
            </w:r>
            <w:r>
              <w:rPr>
                <w:sz w:val="16"/>
              </w:rPr>
              <w:t xml:space="preserve">(yes/no),</w:t>
            </w:r>
            <w:r>
              <w:rPr>
                <w:sz w:val="16"/>
              </w:rPr>
              <w:t xml:space="preserve"> </w:t>
            </w:r>
            <w:r>
              <w:rPr>
                <w:rStyle w:val="VerbatimChar"/>
                <w:sz w:val="16"/>
              </w:rPr>
              <w:t xml:space="preserve">choice</w:t>
            </w:r>
            <w:r>
              <w:rPr>
                <w:sz w:val="16"/>
              </w:rPr>
              <w:t xml:space="preserve"> </w:t>
            </w:r>
            <w:r>
              <w:rPr>
                <w:sz w:val="16"/>
              </w:rPr>
              <w:t xml:space="preserve">(named categories) and</w:t>
            </w:r>
            <w:r>
              <w:rPr>
                <w:sz w:val="16"/>
              </w:rPr>
              <w:t xml:space="preserve"> </w:t>
            </w:r>
            <w:r>
              <w:rPr>
                <w:rStyle w:val="VerbatimChar"/>
                <w:sz w:val="16"/>
              </w:rPr>
              <w:t xml:space="preserve">ordinal</w:t>
            </w:r>
            <w:r>
              <w:rPr>
                <w:sz w:val="16"/>
              </w:rPr>
              <w:t xml:space="preserve"> </w:t>
            </w:r>
            <w:r>
              <w:rPr>
                <w:sz w:val="16"/>
              </w:rPr>
              <w:t xml:space="preserve">(2–10 ordered levels) answer contracts.</w:t>
            </w:r>
          </w:p>
        </w:tc>
      </w:tr>
      <w:tr>
        <w:tc>
          <w:tcPr>
            <w:tcW w:type="dxa" w:w="1181"/>
            <w:vAlign w:val="center"/>
          </w:tcPr>
          <w:p>
            <w:pPr>
              <w:pStyle w:val="Compact"/>
              <w:spacing w:after="20" w:before="0"/>
              <w:jc w:val="left"/>
            </w:pPr>
            <w:r>
              <w:rPr>
                <w:sz w:val="16"/>
              </w:rPr>
              <w:t xml:space="preserve">QRY-004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Require named options and meanings for</w:t>
            </w:r>
            <w:r>
              <w:rPr>
                <w:sz w:val="16"/>
              </w:rPr>
              <w:t xml:space="preserve"> </w:t>
            </w:r>
            <w:r>
              <w:rPr>
                <w:rStyle w:val="VerbatimChar"/>
                <w:sz w:val="16"/>
              </w:rPr>
              <w:t xml:space="preserve">choice</w:t>
            </w:r>
            <w:r>
              <w:rPr>
                <w:sz w:val="16"/>
              </w:rPr>
              <w:t xml:space="preserve">; require ordered level descriptions for</w:t>
            </w:r>
            <w:r>
              <w:rPr>
                <w:sz w:val="16"/>
              </w:rPr>
              <w:t xml:space="preserve"> </w:t>
            </w:r>
            <w:r>
              <w:rPr>
                <w:rStyle w:val="VerbatimChar"/>
                <w:sz w:val="16"/>
              </w:rPr>
              <w:t xml:space="preserve">ordinal</w:t>
            </w:r>
            <w:r>
              <w:rPr>
                <w:sz w:val="16"/>
              </w:rPr>
              <w:t xml:space="preserve">.</w:t>
            </w:r>
          </w:p>
        </w:tc>
      </w:tr>
      <w:tr>
        <w:tc>
          <w:tcPr>
            <w:tcW w:type="dxa" w:w="1181"/>
            <w:vAlign w:val="center"/>
          </w:tcPr>
          <w:p>
            <w:pPr>
              <w:pStyle w:val="Compact"/>
              <w:spacing w:after="20" w:before="0"/>
              <w:jc w:val="left"/>
            </w:pPr>
            <w:r>
              <w:rPr>
                <w:sz w:val="16"/>
              </w:rPr>
              <w:t xml:space="preserve">QRY-005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Store each saved edit as a new immutable query version; old observations continue to reference the prior version.</w:t>
            </w:r>
          </w:p>
        </w:tc>
      </w:tr>
      <w:tr>
        <w:tc>
          <w:tcPr>
            <w:tcW w:type="dxa" w:w="1181"/>
            <w:vAlign w:val="center"/>
          </w:tcPr>
          <w:p>
            <w:pPr>
              <w:pStyle w:val="Compact"/>
              <w:spacing w:after="20" w:before="0"/>
              <w:jc w:val="left"/>
            </w:pPr>
            <w:r>
              <w:rPr>
                <w:sz w:val="16"/>
              </w:rPr>
              <w:t xml:space="preserve">QRY-006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Support optional ROI per query and display the ROI overlay in previews and retained evidence.</w:t>
            </w:r>
          </w:p>
        </w:tc>
      </w:tr>
      <w:tr>
        <w:tc>
          <w:tcPr>
            <w:tcW w:type="dxa" w:w="1181"/>
            <w:vAlign w:val="center"/>
          </w:tcPr>
          <w:p>
            <w:pPr>
              <w:pStyle w:val="Compact"/>
              <w:spacing w:after="20" w:before="0"/>
              <w:jc w:val="left"/>
            </w:pPr>
            <w:r>
              <w:rPr>
                <w:sz w:val="16"/>
              </w:rPr>
              <w:t xml:space="preserve">QRY-007</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Support per-query threshold, required confirmations, evaluation frequency and unknown-state policy.</w:t>
            </w:r>
          </w:p>
        </w:tc>
      </w:tr>
      <w:tr>
        <w:tc>
          <w:tcPr>
            <w:tcW w:type="dxa" w:w="1181"/>
            <w:vAlign w:val="center"/>
          </w:tcPr>
          <w:p>
            <w:pPr>
              <w:pStyle w:val="Compact"/>
              <w:spacing w:after="20" w:before="0"/>
              <w:jc w:val="left"/>
            </w:pPr>
            <w:r>
              <w:rPr>
                <w:sz w:val="16"/>
              </w:rPr>
              <w:t xml:space="preserve">QRY-008</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Provide a</w:t>
            </w:r>
            <w:r>
              <w:rPr>
                <w:sz w:val="16"/>
              </w:rPr>
              <w:t xml:space="preserve"> </w:t>
            </w:r>
            <w:r>
              <w:rPr>
                <w:sz w:val="16"/>
              </w:rPr>
              <w:t xml:space="preserve">“</w:t>
            </w:r>
            <w:r>
              <w:rPr>
                <w:sz w:val="16"/>
              </w:rPr>
              <w:t xml:space="preserve">Test question</w:t>
            </w:r>
            <w:r>
              <w:rPr>
                <w:sz w:val="16"/>
              </w:rPr>
              <w:t xml:space="preserve">”</w:t>
            </w:r>
            <w:r>
              <w:rPr>
                <w:sz w:val="16"/>
              </w:rPr>
              <w:t xml:space="preserve"> </w:t>
            </w:r>
            <w:r>
              <w:rPr>
                <w:sz w:val="16"/>
              </w:rPr>
              <w:t xml:space="preserve">action that shows the input image, raw model output, derived label and elapsed time.</w:t>
            </w:r>
          </w:p>
        </w:tc>
      </w:tr>
      <w:tr>
        <w:tc>
          <w:tcPr>
            <w:tcW w:type="dxa" w:w="1181"/>
            <w:vAlign w:val="center"/>
          </w:tcPr>
          <w:p>
            <w:pPr>
              <w:pStyle w:val="Compact"/>
              <w:spacing w:after="20" w:before="0"/>
              <w:jc w:val="left"/>
            </w:pPr>
            <w:r>
              <w:rPr>
                <w:sz w:val="16"/>
              </w:rPr>
              <w:t xml:space="preserve">QRY-009</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Mark unsupported questions/capabilities as unsupported rather than silently approximating measurements.</w:t>
            </w:r>
          </w:p>
        </w:tc>
      </w:tr>
      <w:tr>
        <w:tc>
          <w:tcPr>
            <w:tcW w:type="dxa" w:w="1181"/>
            <w:vAlign w:val="center"/>
          </w:tcPr>
          <w:p>
            <w:pPr>
              <w:pStyle w:val="Compact"/>
              <w:spacing w:after="20" w:before="0"/>
              <w:jc w:val="left"/>
            </w:pPr>
            <w:r>
              <w:rPr>
                <w:sz w:val="16"/>
              </w:rPr>
              <w:t xml:space="preserve">QRY-010</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Allow query configuration export/import as versioned JSON with schema validation and secret redaction.</w:t>
            </w:r>
          </w:p>
        </w:tc>
      </w:tr>
      <w:tr>
        <w:tc>
          <w:tcPr>
            <w:tcW w:type="dxa" w:w="1181"/>
            <w:vAlign w:val="center"/>
          </w:tcPr>
          <w:p>
            <w:pPr>
              <w:pStyle w:val="Compact"/>
              <w:spacing w:after="20" w:before="0"/>
              <w:jc w:val="left"/>
            </w:pPr>
            <w:r>
              <w:rPr>
                <w:sz w:val="16"/>
              </w:rPr>
              <w:t xml:space="preserve">QRY-011</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Supply reusable question templates and organisation-approved question catalogues.</w:t>
            </w:r>
          </w:p>
        </w:tc>
      </w:tr>
      <w:tr>
        <w:tc>
          <w:tcPr>
            <w:tcW w:type="dxa" w:w="1181"/>
            <w:vAlign w:val="center"/>
          </w:tcPr>
          <w:p>
            <w:pPr>
              <w:pStyle w:val="Compact"/>
              <w:spacing w:after="20" w:before="0"/>
              <w:jc w:val="left"/>
            </w:pPr>
            <w:r>
              <w:rPr>
                <w:sz w:val="16"/>
              </w:rPr>
              <w:t xml:space="preserve">QRY-012</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Support multi-source composite queries with explicit temporal alignment semantics.</w:t>
            </w:r>
          </w:p>
        </w:tc>
      </w:tr>
    </w:tbl>
    <w:bookmarkEnd w:id="37"/>
    <w:bookmarkStart w:id="38" w:name="inference-and-model-management"/>
    <w:p>
      <w:pPr>
        <w:pStyle w:val="Heading3"/>
      </w:pPr>
      <w:r>
        <w:t xml:space="preserve">4.3 Inference and model management</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81"/>
        <w:gridCol w:w="907"/>
        <w:gridCol w:w="7445"/>
      </w:tblGrid>
      <w:tr>
        <w:trPr>
          <w:tblHeader w:val="on"/>
          <w:tblHeader w:val="true"/>
        </w:trPr>
        <w:tc>
          <w:tcPr>
            <w:tcW w:type="dxa" w:w="1181"/>
            <w:vAlign w:val="center"/>
          </w:tcPr>
          <w:p>
            <w:pPr>
              <w:pStyle w:val="Compact"/>
              <w:spacing w:after="20" w:before="0"/>
              <w:jc w:val="left"/>
            </w:pPr>
            <w:r>
              <w:rPr>
                <w:b/>
                <w:sz w:val="16"/>
              </w:rPr>
              <w:t xml:space="preserve">ID</w:t>
            </w:r>
          </w:p>
        </w:tc>
        <w:tc>
          <w:tcPr>
            <w:tcW w:type="dxa" w:w="907"/>
            <w:vAlign w:val="center"/>
          </w:tcPr>
          <w:p>
            <w:pPr>
              <w:pStyle w:val="Compact"/>
              <w:spacing w:after="20" w:before="0"/>
              <w:jc w:val="left"/>
            </w:pPr>
            <w:r>
              <w:rPr>
                <w:b/>
                <w:sz w:val="16"/>
              </w:rPr>
              <w:t xml:space="preserve">Phase</w:t>
            </w:r>
          </w:p>
        </w:tc>
        <w:tc>
          <w:tcPr>
            <w:tcW w:type="dxa" w:w="7445"/>
            <w:vAlign w:val="center"/>
          </w:tcPr>
          <w:p>
            <w:pPr>
              <w:pStyle w:val="Compact"/>
              <w:spacing w:after="20" w:before="0"/>
              <w:jc w:val="left"/>
            </w:pPr>
            <w:r>
              <w:rPr>
                <w:b/>
                <w:sz w:val="16"/>
              </w:rPr>
              <w:t xml:space="preserve">Requirement and acceptance condition</w:t>
            </w:r>
          </w:p>
        </w:tc>
      </w:tr>
      <w:tr>
        <w:tc>
          <w:tcPr>
            <w:tcW w:type="dxa" w:w="1181"/>
            <w:vAlign w:val="center"/>
          </w:tcPr>
          <w:p>
            <w:pPr>
              <w:pStyle w:val="Compact"/>
              <w:spacing w:after="20" w:before="0"/>
              <w:jc w:val="left"/>
            </w:pPr>
            <w:r>
              <w:rPr>
                <w:sz w:val="16"/>
              </w:rPr>
              <w:t xml:space="preserve">INF-001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Support a provider-neutral inference adapter with machine-readable supported input/answer capabilities.</w:t>
            </w:r>
          </w:p>
        </w:tc>
      </w:tr>
      <w:tr>
        <w:tc>
          <w:tcPr>
            <w:tcW w:type="dxa" w:w="1181"/>
            <w:vAlign w:val="center"/>
          </w:tcPr>
          <w:p>
            <w:pPr>
              <w:pStyle w:val="Compact"/>
              <w:spacing w:after="20" w:before="0"/>
              <w:jc w:val="left"/>
            </w:pPr>
            <w:r>
              <w:rPr>
                <w:sz w:val="16"/>
              </w:rPr>
              <w:t xml:space="preserve">INF-002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Implement a d1-3B adapter using the documented</w:t>
            </w:r>
            <w:r>
              <w:rPr>
                <w:sz w:val="16"/>
              </w:rPr>
              <w:t xml:space="preserve"> </w:t>
            </w:r>
            <w:r>
              <w:rPr>
                <w:rStyle w:val="VerbatimChar"/>
                <w:sz w:val="16"/>
              </w:rPr>
              <w:t xml:space="preserve">system_one</w:t>
            </w:r>
            <w:r>
              <w:rPr>
                <w:sz w:val="16"/>
              </w:rPr>
              <w:t xml:space="preserve"> </w:t>
            </w:r>
            <w:r>
              <w:rPr>
                <w:sz w:val="16"/>
              </w:rPr>
              <w:t xml:space="preserve">question and answer shapes (see [SRC-01]); test against official example fixtures.</w:t>
            </w:r>
          </w:p>
        </w:tc>
      </w:tr>
      <w:tr>
        <w:tc>
          <w:tcPr>
            <w:tcW w:type="dxa" w:w="1181"/>
            <w:vAlign w:val="center"/>
          </w:tcPr>
          <w:p>
            <w:pPr>
              <w:pStyle w:val="Compact"/>
              <w:spacing w:after="20" w:before="0"/>
              <w:jc w:val="left"/>
            </w:pPr>
            <w:r>
              <w:rPr>
                <w:sz w:val="16"/>
              </w:rPr>
              <w:t xml:space="preserve">INF-003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Group compatible questions for one captured image in a single inference request when model/runtime permits.</w:t>
            </w:r>
          </w:p>
        </w:tc>
      </w:tr>
      <w:tr>
        <w:tc>
          <w:tcPr>
            <w:tcW w:type="dxa" w:w="1181"/>
            <w:vAlign w:val="center"/>
          </w:tcPr>
          <w:p>
            <w:pPr>
              <w:pStyle w:val="Compact"/>
              <w:spacing w:after="20" w:before="0"/>
              <w:jc w:val="left"/>
            </w:pPr>
            <w:r>
              <w:rPr>
                <w:sz w:val="16"/>
              </w:rPr>
              <w:t xml:space="preserve">INF-004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Emit typed results for binary, choice and ordinal answers without conflating</w:t>
            </w:r>
            <w:r>
              <w:rPr>
                <w:sz w:val="16"/>
              </w:rPr>
              <w:t xml:space="preserve"> </w:t>
            </w:r>
            <w:r>
              <w:rPr>
                <w:rStyle w:val="VerbatimChar"/>
                <w:sz w:val="16"/>
              </w:rPr>
              <w:t xml:space="preserve">noul</w:t>
            </w:r>
            <w:r>
              <w:rPr>
                <w:sz w:val="16"/>
              </w:rPr>
              <w:t xml:space="preserve">,</w:t>
            </w:r>
            <w:r>
              <w:rPr>
                <w:sz w:val="16"/>
              </w:rPr>
              <w:t xml:space="preserve"> </w:t>
            </w:r>
            <w:r>
              <w:rPr>
                <w:rStyle w:val="VerbatimChar"/>
                <w:sz w:val="16"/>
              </w:rPr>
              <w:t xml:space="preserve">confidence</w:t>
            </w:r>
            <w:r>
              <w:rPr>
                <w:sz w:val="16"/>
              </w:rPr>
              <w:t xml:space="preserve"> </w:t>
            </w:r>
            <w:r>
              <w:rPr>
                <w:sz w:val="16"/>
              </w:rPr>
              <w:t xml:space="preserve">and</w:t>
            </w:r>
            <w:r>
              <w:rPr>
                <w:sz w:val="16"/>
              </w:rPr>
              <w:t xml:space="preserve"> </w:t>
            </w:r>
            <w:r>
              <w:rPr>
                <w:rStyle w:val="VerbatimChar"/>
                <w:sz w:val="16"/>
              </w:rPr>
              <w:t xml:space="preserve">probabilities</w:t>
            </w:r>
            <w:r>
              <w:rPr>
                <w:sz w:val="16"/>
              </w:rPr>
              <w:t xml:space="preserve">.</w:t>
            </w:r>
          </w:p>
        </w:tc>
      </w:tr>
      <w:tr>
        <w:tc>
          <w:tcPr>
            <w:tcW w:type="dxa" w:w="1181"/>
            <w:vAlign w:val="center"/>
          </w:tcPr>
          <w:p>
            <w:pPr>
              <w:pStyle w:val="Compact"/>
              <w:spacing w:after="20" w:before="0"/>
              <w:jc w:val="left"/>
            </w:pPr>
            <w:r>
              <w:rPr>
                <w:sz w:val="16"/>
              </w:rPr>
              <w:t xml:space="preserve">INF-005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Record model ID/version, query version, source/frame references, execution duration and processing status for each result.</w:t>
            </w:r>
          </w:p>
        </w:tc>
      </w:tr>
      <w:tr>
        <w:tc>
          <w:tcPr>
            <w:tcW w:type="dxa" w:w="1181"/>
            <w:vAlign w:val="center"/>
          </w:tcPr>
          <w:p>
            <w:pPr>
              <w:pStyle w:val="Compact"/>
              <w:spacing w:after="20" w:before="0"/>
              <w:jc w:val="left"/>
            </w:pPr>
            <w:r>
              <w:rPr>
                <w:sz w:val="16"/>
              </w:rPr>
              <w:t xml:space="preserve">INF-006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Enforce a bounded work queue; drop or coalesce stale periodic frames under overload, with auditable skip counters.</w:t>
            </w:r>
          </w:p>
        </w:tc>
      </w:tr>
      <w:tr>
        <w:tc>
          <w:tcPr>
            <w:tcW w:type="dxa" w:w="1181"/>
            <w:vAlign w:val="center"/>
          </w:tcPr>
          <w:p>
            <w:pPr>
              <w:pStyle w:val="Compact"/>
              <w:spacing w:after="20" w:before="0"/>
              <w:jc w:val="left"/>
            </w:pPr>
            <w:r>
              <w:rPr>
                <w:sz w:val="16"/>
              </w:rPr>
              <w:t xml:space="preserve">INF-007</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On timeout, OOM, decode failure or model absence, return UNKNOWN/ERROR and preserve system availability.</w:t>
            </w:r>
          </w:p>
        </w:tc>
      </w:tr>
      <w:tr>
        <w:tc>
          <w:tcPr>
            <w:tcW w:type="dxa" w:w="1181"/>
            <w:vAlign w:val="center"/>
          </w:tcPr>
          <w:p>
            <w:pPr>
              <w:pStyle w:val="Compact"/>
              <w:spacing w:after="20" w:before="0"/>
              <w:jc w:val="left"/>
            </w:pPr>
            <w:r>
              <w:rPr>
                <w:sz w:val="16"/>
              </w:rPr>
              <w:t xml:space="preserve">INF-008</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Provide CPU-only configuration without requiring CUDA; perform a documented RAM/latency feasibility benchmark on the reference Dell.</w:t>
            </w:r>
          </w:p>
        </w:tc>
      </w:tr>
      <w:tr>
        <w:tc>
          <w:tcPr>
            <w:tcW w:type="dxa" w:w="1181"/>
            <w:vAlign w:val="center"/>
          </w:tcPr>
          <w:p>
            <w:pPr>
              <w:pStyle w:val="Compact"/>
              <w:spacing w:after="20" w:before="0"/>
              <w:jc w:val="left"/>
            </w:pPr>
            <w:r>
              <w:rPr>
                <w:sz w:val="16"/>
              </w:rPr>
              <w:t xml:space="preserve">INF-009</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Make thresholds configurable and clearly describe scores as uncalibrated unless a specific detector has been calibrated.</w:t>
            </w:r>
          </w:p>
        </w:tc>
      </w:tr>
      <w:tr>
        <w:tc>
          <w:tcPr>
            <w:tcW w:type="dxa" w:w="1181"/>
            <w:vAlign w:val="center"/>
          </w:tcPr>
          <w:p>
            <w:pPr>
              <w:pStyle w:val="Compact"/>
              <w:spacing w:after="20" w:before="0"/>
              <w:jc w:val="left"/>
            </w:pPr>
            <w:r>
              <w:rPr>
                <w:sz w:val="16"/>
              </w:rPr>
              <w:t xml:space="preserve">INF-010</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Enable specialist detection, OCR and tracking engines behind the same capability negotiation layer.</w:t>
            </w:r>
          </w:p>
        </w:tc>
      </w:tr>
      <w:tr>
        <w:tc>
          <w:tcPr>
            <w:tcW w:type="dxa" w:w="1181"/>
            <w:vAlign w:val="center"/>
          </w:tcPr>
          <w:p>
            <w:pPr>
              <w:pStyle w:val="Compact"/>
              <w:spacing w:after="20" w:before="0"/>
              <w:jc w:val="left"/>
            </w:pPr>
            <w:r>
              <w:rPr>
                <w:sz w:val="16"/>
              </w:rPr>
              <w:t xml:space="preserve">INF-011</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Support process-isolated or remote inference workers with authenticated communication.</w:t>
            </w:r>
          </w:p>
        </w:tc>
      </w:tr>
      <w:tr>
        <w:tc>
          <w:tcPr>
            <w:tcW w:type="dxa" w:w="1181"/>
            <w:vAlign w:val="center"/>
          </w:tcPr>
          <w:p>
            <w:pPr>
              <w:pStyle w:val="Compact"/>
              <w:spacing w:after="20" w:before="0"/>
              <w:jc w:val="left"/>
            </w:pPr>
            <w:r>
              <w:rPr>
                <w:sz w:val="16"/>
              </w:rPr>
              <w:t xml:space="preserve">INF-012</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Store validation datasets and detector performance by source/task for threshold tuning.</w:t>
            </w:r>
          </w:p>
        </w:tc>
      </w:tr>
    </w:tbl>
    <w:bookmarkEnd w:id="38"/>
    <w:bookmarkStart w:id="39" w:name="measurement-and-temporal-processing"/>
    <w:p>
      <w:pPr>
        <w:pStyle w:val="Heading3"/>
      </w:pPr>
      <w:r>
        <w:t xml:space="preserve">4.4 Measurement and temporal processing</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81"/>
        <w:gridCol w:w="907"/>
        <w:gridCol w:w="7445"/>
      </w:tblGrid>
      <w:tr>
        <w:trPr>
          <w:tblHeader w:val="on"/>
          <w:tblHeader w:val="true"/>
        </w:trPr>
        <w:tc>
          <w:tcPr>
            <w:tcW w:type="dxa" w:w="1181"/>
            <w:vAlign w:val="center"/>
          </w:tcPr>
          <w:p>
            <w:pPr>
              <w:pStyle w:val="Compact"/>
              <w:spacing w:after="20" w:before="0"/>
              <w:jc w:val="left"/>
            </w:pPr>
            <w:r>
              <w:rPr>
                <w:b/>
                <w:sz w:val="16"/>
              </w:rPr>
              <w:t xml:space="preserve">ID</w:t>
            </w:r>
          </w:p>
        </w:tc>
        <w:tc>
          <w:tcPr>
            <w:tcW w:type="dxa" w:w="907"/>
            <w:vAlign w:val="center"/>
          </w:tcPr>
          <w:p>
            <w:pPr>
              <w:pStyle w:val="Compact"/>
              <w:spacing w:after="20" w:before="0"/>
              <w:jc w:val="left"/>
            </w:pPr>
            <w:r>
              <w:rPr>
                <w:b/>
                <w:sz w:val="16"/>
              </w:rPr>
              <w:t xml:space="preserve">Phase</w:t>
            </w:r>
          </w:p>
        </w:tc>
        <w:tc>
          <w:tcPr>
            <w:tcW w:type="dxa" w:w="7445"/>
            <w:vAlign w:val="center"/>
          </w:tcPr>
          <w:p>
            <w:pPr>
              <w:pStyle w:val="Compact"/>
              <w:spacing w:after="20" w:before="0"/>
              <w:jc w:val="left"/>
            </w:pPr>
            <w:r>
              <w:rPr>
                <w:b/>
                <w:sz w:val="16"/>
              </w:rPr>
              <w:t xml:space="preserve">Requirement and acceptance condition</w:t>
            </w:r>
          </w:p>
        </w:tc>
      </w:tr>
      <w:tr>
        <w:tc>
          <w:tcPr>
            <w:tcW w:type="dxa" w:w="1181"/>
            <w:vAlign w:val="center"/>
          </w:tcPr>
          <w:p>
            <w:pPr>
              <w:pStyle w:val="Compact"/>
              <w:spacing w:after="20" w:before="0"/>
              <w:jc w:val="left"/>
            </w:pPr>
            <w:r>
              <w:rPr>
                <w:sz w:val="16"/>
              </w:rPr>
              <w:t xml:space="preserve">MET-001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Normalise every evaluated sample to POSITIVE, NEGATIVE, UNCERTAIN or ERROR plus raw provider answer.</w:t>
            </w:r>
          </w:p>
        </w:tc>
      </w:tr>
      <w:tr>
        <w:tc>
          <w:tcPr>
            <w:tcW w:type="dxa" w:w="1181"/>
            <w:vAlign w:val="center"/>
          </w:tcPr>
          <w:p>
            <w:pPr>
              <w:pStyle w:val="Compact"/>
              <w:spacing w:after="20" w:before="0"/>
              <w:jc w:val="left"/>
            </w:pPr>
            <w:r>
              <w:rPr>
                <w:sz w:val="16"/>
              </w:rPr>
              <w:t xml:space="preserve">MET-002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Expose INACTIVE, PENDING, ACTIVE, RECOVERING and UNKNOWN state transitions with configurable confirmation policy.</w:t>
            </w:r>
          </w:p>
        </w:tc>
      </w:tr>
      <w:tr>
        <w:tc>
          <w:tcPr>
            <w:tcW w:type="dxa" w:w="1181"/>
            <w:vAlign w:val="center"/>
          </w:tcPr>
          <w:p>
            <w:pPr>
              <w:pStyle w:val="Compact"/>
              <w:spacing w:after="20" w:before="0"/>
              <w:jc w:val="left"/>
            </w:pPr>
            <w:r>
              <w:rPr>
                <w:sz w:val="16"/>
              </w:rPr>
              <w:t xml:space="preserve">MET-003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Count a new event only after activation confirmation; rapid repeated positive samples shall not inflate count.</w:t>
            </w:r>
          </w:p>
        </w:tc>
      </w:tr>
      <w:tr>
        <w:tc>
          <w:tcPr>
            <w:tcW w:type="dxa" w:w="1181"/>
            <w:vAlign w:val="center"/>
          </w:tcPr>
          <w:p>
            <w:pPr>
              <w:pStyle w:val="Compact"/>
              <w:spacing w:after="20" w:before="0"/>
              <w:jc w:val="left"/>
            </w:pPr>
            <w:r>
              <w:rPr>
                <w:sz w:val="16"/>
              </w:rPr>
              <w:t xml:space="preserve">MET-004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Measure duration from timestamped confirmed transitions and distinguish observed from estimated/unobserved time.</w:t>
            </w:r>
          </w:p>
        </w:tc>
      </w:tr>
      <w:tr>
        <w:tc>
          <w:tcPr>
            <w:tcW w:type="dxa" w:w="1181"/>
            <w:vAlign w:val="center"/>
          </w:tcPr>
          <w:p>
            <w:pPr>
              <w:pStyle w:val="Compact"/>
              <w:spacing w:after="20" w:before="0"/>
              <w:jc w:val="left"/>
            </w:pPr>
            <w:r>
              <w:rPr>
                <w:sz w:val="16"/>
              </w:rPr>
              <w:t xml:space="preserve">MET-005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Produce count per selected calendar bucket and rate per interval, including zero versus missing-data distinctions.</w:t>
            </w:r>
          </w:p>
        </w:tc>
      </w:tr>
      <w:tr>
        <w:tc>
          <w:tcPr>
            <w:tcW w:type="dxa" w:w="1181"/>
            <w:vAlign w:val="center"/>
          </w:tcPr>
          <w:p>
            <w:pPr>
              <w:pStyle w:val="Compact"/>
              <w:spacing w:after="20" w:before="0"/>
              <w:jc w:val="left"/>
            </w:pPr>
            <w:r>
              <w:rPr>
                <w:sz w:val="16"/>
              </w:rPr>
              <w:t xml:space="preserve">MET-006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Calculate occupancy proportion with explicit eligible observation time as denominator.</w:t>
            </w:r>
          </w:p>
        </w:tc>
      </w:tr>
      <w:tr>
        <w:tc>
          <w:tcPr>
            <w:tcW w:type="dxa" w:w="1181"/>
            <w:vAlign w:val="center"/>
          </w:tcPr>
          <w:p>
            <w:pPr>
              <w:pStyle w:val="Compact"/>
              <w:spacing w:after="20" w:before="0"/>
              <w:jc w:val="left"/>
            </w:pPr>
            <w:r>
              <w:rPr>
                <w:sz w:val="16"/>
              </w:rPr>
              <w:t xml:space="preserve">MET-007</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Compute category dwell time for named-choice answers; define handling of unknown intervals.</w:t>
            </w:r>
          </w:p>
        </w:tc>
      </w:tr>
      <w:tr>
        <w:tc>
          <w:tcPr>
            <w:tcW w:type="dxa" w:w="1181"/>
            <w:vAlign w:val="center"/>
          </w:tcPr>
          <w:p>
            <w:pPr>
              <w:pStyle w:val="Compact"/>
              <w:spacing w:after="20" w:before="0"/>
              <w:jc w:val="left"/>
            </w:pPr>
            <w:r>
              <w:rPr>
                <w:sz w:val="16"/>
              </w:rPr>
              <w:t xml:space="preserve">MET-008</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Provide time-series trend charts for ordered results without treating ordinal levels as physical units.</w:t>
            </w:r>
          </w:p>
        </w:tc>
      </w:tr>
      <w:tr>
        <w:tc>
          <w:tcPr>
            <w:tcW w:type="dxa" w:w="1181"/>
            <w:vAlign w:val="center"/>
          </w:tcPr>
          <w:p>
            <w:pPr>
              <w:pStyle w:val="Compact"/>
              <w:spacing w:after="20" w:before="0"/>
              <w:jc w:val="left"/>
            </w:pPr>
            <w:r>
              <w:rPr>
                <w:sz w:val="16"/>
              </w:rPr>
              <w:t xml:space="preserve">MET-009</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Use UTC timestamps internally and display user-selected timezone; define daylight-saving and late-frame behaviour.</w:t>
            </w:r>
          </w:p>
        </w:tc>
      </w:tr>
      <w:tr>
        <w:tc>
          <w:tcPr>
            <w:tcW w:type="dxa" w:w="1181"/>
            <w:vAlign w:val="center"/>
          </w:tcPr>
          <w:p>
            <w:pPr>
              <w:pStyle w:val="Compact"/>
              <w:spacing w:after="20" w:before="0"/>
              <w:jc w:val="left"/>
            </w:pPr>
            <w:r>
              <w:rPr>
                <w:sz w:val="16"/>
              </w:rPr>
              <w:t xml:space="preserve">MET-010</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Preserve unknown gaps after source failure; shall not silently close or extend events as if the scene were observed.</w:t>
            </w:r>
          </w:p>
        </w:tc>
      </w:tr>
      <w:tr>
        <w:tc>
          <w:tcPr>
            <w:tcW w:type="dxa" w:w="1181"/>
            <w:vAlign w:val="center"/>
          </w:tcPr>
          <w:p>
            <w:pPr>
              <w:pStyle w:val="Compact"/>
              <w:spacing w:after="20" w:before="0"/>
              <w:jc w:val="left"/>
            </w:pPr>
            <w:r>
              <w:rPr>
                <w:sz w:val="16"/>
              </w:rPr>
              <w:t xml:space="preserve">MET-011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Recalculate metrics deterministically by replay of stored observations and query-version policy.</w:t>
            </w:r>
          </w:p>
        </w:tc>
      </w:tr>
      <w:tr>
        <w:tc>
          <w:tcPr>
            <w:tcW w:type="dxa" w:w="1181"/>
            <w:vAlign w:val="center"/>
          </w:tcPr>
          <w:p>
            <w:pPr>
              <w:pStyle w:val="Compact"/>
              <w:spacing w:after="20" w:before="0"/>
              <w:jc w:val="left"/>
            </w:pPr>
            <w:r>
              <w:rPr>
                <w:sz w:val="16"/>
              </w:rPr>
              <w:t xml:space="preserve">MET-012</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Add specialist distinct-object tracking, exact counts and cross-camera deduplication where supported by a tracker.</w:t>
            </w:r>
          </w:p>
        </w:tc>
      </w:tr>
      <w:tr>
        <w:tc>
          <w:tcPr>
            <w:tcW w:type="dxa" w:w="1181"/>
            <w:vAlign w:val="center"/>
          </w:tcPr>
          <w:p>
            <w:pPr>
              <w:pStyle w:val="Compact"/>
              <w:spacing w:after="20" w:before="0"/>
              <w:jc w:val="left"/>
            </w:pPr>
            <w:r>
              <w:rPr>
                <w:sz w:val="16"/>
              </w:rPr>
              <w:t xml:space="preserve">MET-013</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Add anomaly baselines, physical numeric readings, correlations and sequences as measurement plugins.</w:t>
            </w:r>
          </w:p>
        </w:tc>
      </w:tr>
    </w:tbl>
    <w:bookmarkEnd w:id="39"/>
    <w:bookmarkStart w:id="40" w:name="events-rules-and-notification-delivery"/>
    <w:p>
      <w:pPr>
        <w:pStyle w:val="Heading3"/>
      </w:pPr>
      <w:r>
        <w:t xml:space="preserve">4.5 Events, rules and notification delivery</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81"/>
        <w:gridCol w:w="907"/>
        <w:gridCol w:w="7445"/>
      </w:tblGrid>
      <w:tr>
        <w:trPr>
          <w:tblHeader w:val="on"/>
          <w:tblHeader w:val="true"/>
        </w:trPr>
        <w:tc>
          <w:tcPr>
            <w:tcW w:type="dxa" w:w="1181"/>
            <w:vAlign w:val="center"/>
          </w:tcPr>
          <w:p>
            <w:pPr>
              <w:pStyle w:val="Compact"/>
              <w:spacing w:after="20" w:before="0"/>
              <w:jc w:val="left"/>
            </w:pPr>
            <w:r>
              <w:rPr>
                <w:b/>
                <w:sz w:val="16"/>
              </w:rPr>
              <w:t xml:space="preserve">ID</w:t>
            </w:r>
          </w:p>
        </w:tc>
        <w:tc>
          <w:tcPr>
            <w:tcW w:type="dxa" w:w="907"/>
            <w:vAlign w:val="center"/>
          </w:tcPr>
          <w:p>
            <w:pPr>
              <w:pStyle w:val="Compact"/>
              <w:spacing w:after="20" w:before="0"/>
              <w:jc w:val="left"/>
            </w:pPr>
            <w:r>
              <w:rPr>
                <w:b/>
                <w:sz w:val="16"/>
              </w:rPr>
              <w:t xml:space="preserve">Phase</w:t>
            </w:r>
          </w:p>
        </w:tc>
        <w:tc>
          <w:tcPr>
            <w:tcW w:type="dxa" w:w="7445"/>
            <w:vAlign w:val="center"/>
          </w:tcPr>
          <w:p>
            <w:pPr>
              <w:pStyle w:val="Compact"/>
              <w:spacing w:after="20" w:before="0"/>
              <w:jc w:val="left"/>
            </w:pPr>
            <w:r>
              <w:rPr>
                <w:b/>
                <w:sz w:val="16"/>
              </w:rPr>
              <w:t xml:space="preserve">Requirement and acceptance condition</w:t>
            </w:r>
          </w:p>
        </w:tc>
      </w:tr>
      <w:tr>
        <w:tc>
          <w:tcPr>
            <w:tcW w:type="dxa" w:w="1181"/>
            <w:vAlign w:val="center"/>
          </w:tcPr>
          <w:p>
            <w:pPr>
              <w:pStyle w:val="Compact"/>
              <w:spacing w:after="20" w:before="0"/>
              <w:jc w:val="left"/>
            </w:pPr>
            <w:r>
              <w:rPr>
                <w:sz w:val="16"/>
              </w:rPr>
              <w:t xml:space="preserve">EVT-001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Record event start/end, query version, confidence summary, source and linked evidence IDs.</w:t>
            </w:r>
          </w:p>
        </w:tc>
      </w:tr>
      <w:tr>
        <w:tc>
          <w:tcPr>
            <w:tcW w:type="dxa" w:w="1181"/>
            <w:vAlign w:val="center"/>
          </w:tcPr>
          <w:p>
            <w:pPr>
              <w:pStyle w:val="Compact"/>
              <w:spacing w:after="20" w:before="0"/>
              <w:jc w:val="left"/>
            </w:pPr>
            <w:r>
              <w:rPr>
                <w:sz w:val="16"/>
              </w:rPr>
              <w:t xml:space="preserve">EVT-002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Provide a chronological event log with search by source, type, severity and time range.</w:t>
            </w:r>
          </w:p>
        </w:tc>
      </w:tr>
      <w:tr>
        <w:tc>
          <w:tcPr>
            <w:tcW w:type="dxa" w:w="1181"/>
            <w:vAlign w:val="center"/>
          </w:tcPr>
          <w:p>
            <w:pPr>
              <w:pStyle w:val="Compact"/>
              <w:spacing w:after="20" w:before="0"/>
              <w:jc w:val="left"/>
            </w:pPr>
            <w:r>
              <w:rPr>
                <w:sz w:val="16"/>
              </w:rPr>
              <w:t xml:space="preserve">EVT-003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Allow</w:t>
            </w:r>
            <w:r>
              <w:rPr>
                <w:sz w:val="16"/>
              </w:rPr>
              <w:t xml:space="preserve"> </w:t>
            </w:r>
            <w:r>
              <w:rPr>
                <w:sz w:val="16"/>
              </w:rPr>
              <w:t xml:space="preserve">“</w:t>
            </w:r>
            <w:r>
              <w:rPr>
                <w:sz w:val="16"/>
              </w:rPr>
              <w:t xml:space="preserve">condition active longer than X</w:t>
            </w:r>
            <w:r>
              <w:rPr>
                <w:sz w:val="16"/>
              </w:rPr>
              <w:t xml:space="preserve">”</w:t>
            </w:r>
            <w:r>
              <w:rPr>
                <w:sz w:val="16"/>
              </w:rPr>
              <w:t xml:space="preserve"> </w:t>
            </w:r>
            <w:r>
              <w:rPr>
                <w:sz w:val="16"/>
              </w:rPr>
              <w:t xml:space="preserve">and</w:t>
            </w:r>
            <w:r>
              <w:rPr>
                <w:sz w:val="16"/>
              </w:rPr>
              <w:t xml:space="preserve"> </w:t>
            </w:r>
            <w:r>
              <w:rPr>
                <w:sz w:val="16"/>
              </w:rPr>
              <w:t xml:space="preserve">“</w:t>
            </w:r>
            <w:r>
              <w:rPr>
                <w:sz w:val="16"/>
              </w:rPr>
              <w:t xml:space="preserve">count greater than N in interval Y</w:t>
            </w:r>
            <w:r>
              <w:rPr>
                <w:sz w:val="16"/>
              </w:rPr>
              <w:t xml:space="preserve">”</w:t>
            </w:r>
            <w:r>
              <w:rPr>
                <w:sz w:val="16"/>
              </w:rPr>
              <w:t xml:space="preserve"> </w:t>
            </w:r>
            <w:r>
              <w:rPr>
                <w:sz w:val="16"/>
              </w:rPr>
              <w:t xml:space="preserve">alert rules.</w:t>
            </w:r>
          </w:p>
        </w:tc>
      </w:tr>
      <w:tr>
        <w:tc>
          <w:tcPr>
            <w:tcW w:type="dxa" w:w="1181"/>
            <w:vAlign w:val="center"/>
          </w:tcPr>
          <w:p>
            <w:pPr>
              <w:pStyle w:val="Compact"/>
              <w:spacing w:after="20" w:before="0"/>
              <w:jc w:val="left"/>
            </w:pPr>
            <w:r>
              <w:rPr>
                <w:sz w:val="16"/>
              </w:rPr>
              <w:t xml:space="preserve">EVT-004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Prevent duplicate alert delivery for one rule transition through stable idempotency keys.</w:t>
            </w:r>
          </w:p>
        </w:tc>
      </w:tr>
      <w:tr>
        <w:tc>
          <w:tcPr>
            <w:tcW w:type="dxa" w:w="1181"/>
            <w:vAlign w:val="center"/>
          </w:tcPr>
          <w:p>
            <w:pPr>
              <w:pStyle w:val="Compact"/>
              <w:spacing w:after="20" w:before="0"/>
              <w:jc w:val="left"/>
            </w:pPr>
            <w:r>
              <w:rPr>
                <w:sz w:val="16"/>
              </w:rPr>
              <w:t xml:space="preserve">EVT-005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Support alert severity, acknowledgement, resolution and operator notes with audit history.</w:t>
            </w:r>
          </w:p>
        </w:tc>
      </w:tr>
      <w:tr>
        <w:tc>
          <w:tcPr>
            <w:tcW w:type="dxa" w:w="1181"/>
            <w:vAlign w:val="center"/>
          </w:tcPr>
          <w:p>
            <w:pPr>
              <w:pStyle w:val="Compact"/>
              <w:spacing w:after="20" w:before="0"/>
              <w:jc w:val="left"/>
            </w:pPr>
            <w:r>
              <w:rPr>
                <w:sz w:val="16"/>
              </w:rPr>
              <w:t xml:space="preserve">EVT-006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Provide in-dashboard notifications; allow an optional outbound email/webhook channel only after explicit configuration.</w:t>
            </w:r>
          </w:p>
        </w:tc>
      </w:tr>
      <w:tr>
        <w:tc>
          <w:tcPr>
            <w:tcW w:type="dxa" w:w="1181"/>
            <w:vAlign w:val="center"/>
          </w:tcPr>
          <w:p>
            <w:pPr>
              <w:pStyle w:val="Compact"/>
              <w:spacing w:after="20" w:before="0"/>
              <w:jc w:val="left"/>
            </w:pPr>
            <w:r>
              <w:rPr>
                <w:sz w:val="16"/>
              </w:rPr>
              <w:t xml:space="preserve">EVT-007</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Retry failed deliveries with capped limits and surface delivery failure in the UI.</w:t>
            </w:r>
          </w:p>
        </w:tc>
      </w:tr>
      <w:tr>
        <w:tc>
          <w:tcPr>
            <w:tcW w:type="dxa" w:w="1181"/>
            <w:vAlign w:val="center"/>
          </w:tcPr>
          <w:p>
            <w:pPr>
              <w:pStyle w:val="Compact"/>
              <w:spacing w:after="20" w:before="0"/>
              <w:jc w:val="left"/>
            </w:pPr>
            <w:r>
              <w:rPr>
                <w:sz w:val="16"/>
              </w:rPr>
              <w:t xml:space="preserve">EVT-008</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Distinguish detection alerts from source-offline and processing-degraded alerts.</w:t>
            </w:r>
          </w:p>
        </w:tc>
      </w:tr>
      <w:tr>
        <w:tc>
          <w:tcPr>
            <w:tcW w:type="dxa" w:w="1181"/>
            <w:vAlign w:val="center"/>
          </w:tcPr>
          <w:p>
            <w:pPr>
              <w:pStyle w:val="Compact"/>
              <w:spacing w:after="20" w:before="0"/>
              <w:jc w:val="left"/>
            </w:pPr>
            <w:r>
              <w:rPr>
                <w:sz w:val="16"/>
              </w:rPr>
              <w:t xml:space="preserve">EVT-009</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Support multi-source correlations and rule dependencies.</w:t>
            </w:r>
          </w:p>
        </w:tc>
      </w:tr>
      <w:tr>
        <w:tc>
          <w:tcPr>
            <w:tcW w:type="dxa" w:w="1181"/>
            <w:vAlign w:val="center"/>
          </w:tcPr>
          <w:p>
            <w:pPr>
              <w:pStyle w:val="Compact"/>
              <w:spacing w:after="20" w:before="0"/>
              <w:jc w:val="left"/>
            </w:pPr>
            <w:r>
              <w:rPr>
                <w:sz w:val="16"/>
              </w:rPr>
              <w:t xml:space="preserve">EVT-010</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Allow action plugins subject to allow-listing, authorisation and dry-run safety checks.</w:t>
            </w:r>
          </w:p>
        </w:tc>
      </w:tr>
    </w:tbl>
    <w:bookmarkEnd w:id="40"/>
    <w:bookmarkStart w:id="41" w:name="dashboard-history-and-exports"/>
    <w:p>
      <w:pPr>
        <w:pStyle w:val="Heading3"/>
      </w:pPr>
      <w:r>
        <w:t xml:space="preserve">4.6 Dashboard, history and exports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81"/>
        <w:gridCol w:w="907"/>
        <w:gridCol w:w="7445"/>
      </w:tblGrid>
      <w:tr>
        <w:trPr>
          <w:tblHeader w:val="on"/>
          <w:tblHeader w:val="true"/>
        </w:trPr>
        <w:tc>
          <w:tcPr>
            <w:tcW w:type="dxa" w:w="1181"/>
            <w:vAlign w:val="center"/>
          </w:tcPr>
          <w:p>
            <w:pPr>
              <w:pStyle w:val="Compact"/>
              <w:spacing w:after="20" w:before="0"/>
              <w:jc w:val="left"/>
            </w:pPr>
            <w:r>
              <w:rPr>
                <w:b/>
                <w:sz w:val="16"/>
              </w:rPr>
              <w:t xml:space="preserve">ID</w:t>
            </w:r>
          </w:p>
        </w:tc>
        <w:tc>
          <w:tcPr>
            <w:tcW w:type="dxa" w:w="907"/>
            <w:vAlign w:val="center"/>
          </w:tcPr>
          <w:p>
            <w:pPr>
              <w:pStyle w:val="Compact"/>
              <w:spacing w:after="20" w:before="0"/>
              <w:jc w:val="left"/>
            </w:pPr>
            <w:r>
              <w:rPr>
                <w:b/>
                <w:sz w:val="16"/>
              </w:rPr>
              <w:t xml:space="preserve">Phase</w:t>
            </w:r>
          </w:p>
        </w:tc>
        <w:tc>
          <w:tcPr>
            <w:tcW w:type="dxa" w:w="7445"/>
            <w:vAlign w:val="center"/>
          </w:tcPr>
          <w:p>
            <w:pPr>
              <w:pStyle w:val="Compact"/>
              <w:spacing w:after="20" w:before="0"/>
              <w:jc w:val="left"/>
            </w:pPr>
            <w:r>
              <w:rPr>
                <w:b/>
                <w:sz w:val="16"/>
              </w:rPr>
              <w:t xml:space="preserve">Requirement and acceptance condition</w:t>
            </w:r>
          </w:p>
        </w:tc>
      </w:tr>
      <w:tr>
        <w:tc>
          <w:tcPr>
            <w:tcW w:type="dxa" w:w="1181"/>
            <w:vAlign w:val="center"/>
          </w:tcPr>
          <w:p>
            <w:pPr>
              <w:pStyle w:val="Compact"/>
              <w:spacing w:after="20" w:before="0"/>
              <w:jc w:val="left"/>
            </w:pPr>
            <w:r>
              <w:rPr>
                <w:sz w:val="16"/>
              </w:rPr>
              <w:t xml:space="preserve">UI-001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Provide responsive browser navigation: Sources, Questions, Live Status, Events, Metrics and Settings.</w:t>
            </w:r>
          </w:p>
        </w:tc>
      </w:tr>
      <w:tr>
        <w:tc>
          <w:tcPr>
            <w:tcW w:type="dxa" w:w="1181"/>
            <w:vAlign w:val="center"/>
          </w:tcPr>
          <w:p>
            <w:pPr>
              <w:pStyle w:val="Compact"/>
              <w:spacing w:after="20" w:before="0"/>
              <w:jc w:val="left"/>
            </w:pPr>
            <w:r>
              <w:rPr>
                <w:sz w:val="16"/>
              </w:rPr>
              <w:t xml:space="preserve">UI-002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Display a source card with last frame time, connectivity, configured queries and processing health.</w:t>
            </w:r>
          </w:p>
        </w:tc>
      </w:tr>
      <w:tr>
        <w:tc>
          <w:tcPr>
            <w:tcW w:type="dxa" w:w="1181"/>
            <w:vAlign w:val="center"/>
          </w:tcPr>
          <w:p>
            <w:pPr>
              <w:pStyle w:val="Compact"/>
              <w:spacing w:after="20" w:before="0"/>
              <w:jc w:val="left"/>
            </w:pPr>
            <w:r>
              <w:rPr>
                <w:sz w:val="16"/>
              </w:rPr>
              <w:t xml:space="preserve">UI-003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Show latest result, state, last-observed time and clear UNKNOWN indication per query.</w:t>
            </w:r>
          </w:p>
        </w:tc>
      </w:tr>
      <w:tr>
        <w:tc>
          <w:tcPr>
            <w:tcW w:type="dxa" w:w="1181"/>
            <w:vAlign w:val="center"/>
          </w:tcPr>
          <w:p>
            <w:pPr>
              <w:pStyle w:val="Compact"/>
              <w:spacing w:after="20" w:before="0"/>
              <w:jc w:val="left"/>
            </w:pPr>
            <w:r>
              <w:rPr>
                <w:sz w:val="16"/>
              </w:rPr>
              <w:t xml:space="preserve">UI-004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Display counts, estimated durations and time-series charts for a selected range.</w:t>
            </w:r>
          </w:p>
        </w:tc>
      </w:tr>
      <w:tr>
        <w:tc>
          <w:tcPr>
            <w:tcW w:type="dxa" w:w="1181"/>
            <w:vAlign w:val="center"/>
          </w:tcPr>
          <w:p>
            <w:pPr>
              <w:pStyle w:val="Compact"/>
              <w:spacing w:after="20" w:before="0"/>
              <w:jc w:val="left"/>
            </w:pPr>
            <w:r>
              <w:rPr>
                <w:sz w:val="16"/>
              </w:rPr>
              <w:t xml:space="preserve">UI-005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Link an event/graph point to evidence snapshot when evidence was retained and viewer has permission.</w:t>
            </w:r>
          </w:p>
        </w:tc>
      </w:tr>
      <w:tr>
        <w:tc>
          <w:tcPr>
            <w:tcW w:type="dxa" w:w="1181"/>
            <w:vAlign w:val="center"/>
          </w:tcPr>
          <w:p>
            <w:pPr>
              <w:pStyle w:val="Compact"/>
              <w:spacing w:after="20" w:before="0"/>
              <w:jc w:val="left"/>
            </w:pPr>
            <w:r>
              <w:rPr>
                <w:sz w:val="16"/>
              </w:rPr>
              <w:t xml:space="preserve">UI-006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Present event detail with source, question version, answer, threshold and provenance.</w:t>
            </w:r>
          </w:p>
        </w:tc>
      </w:tr>
      <w:tr>
        <w:tc>
          <w:tcPr>
            <w:tcW w:type="dxa" w:w="1181"/>
            <w:vAlign w:val="center"/>
          </w:tcPr>
          <w:p>
            <w:pPr>
              <w:pStyle w:val="Compact"/>
              <w:spacing w:after="20" w:before="0"/>
              <w:jc w:val="left"/>
            </w:pPr>
            <w:r>
              <w:rPr>
                <w:sz w:val="16"/>
              </w:rPr>
              <w:t xml:space="preserve">UI-007</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Allow dashboard filter by source, question, time period and severity.</w:t>
            </w:r>
          </w:p>
        </w:tc>
      </w:tr>
      <w:tr>
        <w:tc>
          <w:tcPr>
            <w:tcW w:type="dxa" w:w="1181"/>
            <w:vAlign w:val="center"/>
          </w:tcPr>
          <w:p>
            <w:pPr>
              <w:pStyle w:val="Compact"/>
              <w:spacing w:after="20" w:before="0"/>
              <w:jc w:val="left"/>
            </w:pPr>
            <w:r>
              <w:rPr>
                <w:sz w:val="16"/>
              </w:rPr>
              <w:t xml:space="preserve">UI-008</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Allow CSV/JSON export of permitted event and metric data with timezone and provenance fields.</w:t>
            </w:r>
          </w:p>
        </w:tc>
      </w:tr>
      <w:tr>
        <w:tc>
          <w:tcPr>
            <w:tcW w:type="dxa" w:w="1181"/>
            <w:vAlign w:val="center"/>
          </w:tcPr>
          <w:p>
            <w:pPr>
              <w:pStyle w:val="Compact"/>
              <w:spacing w:after="20" w:before="0"/>
              <w:jc w:val="left"/>
            </w:pPr>
            <w:r>
              <w:rPr>
                <w:sz w:val="16"/>
              </w:rPr>
              <w:t xml:space="preserve">UI-009</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Provide connection-test and query-test interfaces with diagnostic reasons rather than generic failure.</w:t>
            </w:r>
          </w:p>
        </w:tc>
      </w:tr>
      <w:tr>
        <w:tc>
          <w:tcPr>
            <w:tcW w:type="dxa" w:w="1181"/>
            <w:vAlign w:val="center"/>
          </w:tcPr>
          <w:p>
            <w:pPr>
              <w:pStyle w:val="Compact"/>
              <w:spacing w:after="20" w:before="0"/>
              <w:jc w:val="left"/>
            </w:pPr>
            <w:r>
              <w:rPr>
                <w:sz w:val="16"/>
              </w:rPr>
              <w:t xml:space="preserve">UI-010</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Show at least basic compute metrics: queue depth, model load status, inference time, skipped frames.</w:t>
            </w:r>
          </w:p>
        </w:tc>
      </w:tr>
      <w:tr>
        <w:tc>
          <w:tcPr>
            <w:tcW w:type="dxa" w:w="1181"/>
            <w:vAlign w:val="center"/>
          </w:tcPr>
          <w:p>
            <w:pPr>
              <w:pStyle w:val="Compact"/>
              <w:spacing w:after="20" w:before="0"/>
              <w:jc w:val="left"/>
            </w:pPr>
            <w:r>
              <w:rPr>
                <w:sz w:val="16"/>
              </w:rPr>
              <w:t xml:space="preserve">UI-011</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Support drag/resize dashboard layouts, saved views, multi-user sharing and optional widget plugins.</w:t>
            </w:r>
          </w:p>
        </w:tc>
      </w:tr>
      <w:tr>
        <w:tc>
          <w:tcPr>
            <w:tcW w:type="dxa" w:w="1181"/>
            <w:vAlign w:val="center"/>
          </w:tcPr>
          <w:p>
            <w:pPr>
              <w:pStyle w:val="Compact"/>
              <w:spacing w:after="20" w:before="0"/>
              <w:jc w:val="left"/>
            </w:pPr>
            <w:r>
              <w:rPr>
                <w:sz w:val="16"/>
              </w:rPr>
              <w:t xml:space="preserve">UI-012</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Provide scheduled reports and annotated comparative trend reports.</w:t>
            </w:r>
          </w:p>
        </w:tc>
      </w:tr>
    </w:tbl>
    <w:bookmarkEnd w:id="41"/>
    <w:bookmarkStart w:id="42" w:name="administration-and-operation"/>
    <w:p>
      <w:pPr>
        <w:pStyle w:val="Heading3"/>
      </w:pPr>
      <w:r>
        <w:t xml:space="preserve">4.7 Administration and operation</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81"/>
        <w:gridCol w:w="907"/>
        <w:gridCol w:w="7445"/>
      </w:tblGrid>
      <w:tr>
        <w:trPr>
          <w:tblHeader w:val="on"/>
          <w:tblHeader w:val="true"/>
        </w:trPr>
        <w:tc>
          <w:tcPr>
            <w:tcW w:type="dxa" w:w="1181"/>
            <w:vAlign w:val="center"/>
          </w:tcPr>
          <w:p>
            <w:pPr>
              <w:pStyle w:val="Compact"/>
              <w:spacing w:after="20" w:before="0"/>
              <w:jc w:val="left"/>
            </w:pPr>
            <w:r>
              <w:rPr>
                <w:b/>
                <w:sz w:val="16"/>
              </w:rPr>
              <w:t xml:space="preserve">ID</w:t>
            </w:r>
          </w:p>
        </w:tc>
        <w:tc>
          <w:tcPr>
            <w:tcW w:type="dxa" w:w="907"/>
            <w:vAlign w:val="center"/>
          </w:tcPr>
          <w:p>
            <w:pPr>
              <w:pStyle w:val="Compact"/>
              <w:spacing w:after="20" w:before="0"/>
              <w:jc w:val="left"/>
            </w:pPr>
            <w:r>
              <w:rPr>
                <w:b/>
                <w:sz w:val="16"/>
              </w:rPr>
              <w:t xml:space="preserve">Phase</w:t>
            </w:r>
          </w:p>
        </w:tc>
        <w:tc>
          <w:tcPr>
            <w:tcW w:type="dxa" w:w="7445"/>
            <w:vAlign w:val="center"/>
          </w:tcPr>
          <w:p>
            <w:pPr>
              <w:pStyle w:val="Compact"/>
              <w:spacing w:after="20" w:before="0"/>
              <w:jc w:val="left"/>
            </w:pPr>
            <w:r>
              <w:rPr>
                <w:b/>
                <w:sz w:val="16"/>
              </w:rPr>
              <w:t xml:space="preserve">Requirement and acceptance condition</w:t>
            </w:r>
          </w:p>
        </w:tc>
      </w:tr>
      <w:tr>
        <w:tc>
          <w:tcPr>
            <w:tcW w:type="dxa" w:w="1181"/>
            <w:vAlign w:val="center"/>
          </w:tcPr>
          <w:p>
            <w:pPr>
              <w:pStyle w:val="Compact"/>
              <w:spacing w:after="20" w:before="0"/>
              <w:jc w:val="left"/>
            </w:pPr>
            <w:r>
              <w:rPr>
                <w:sz w:val="16"/>
              </w:rPr>
              <w:t xml:space="preserve">OPS-001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Start capture/inference processing as a background service independent of an open browser.</w:t>
            </w:r>
          </w:p>
        </w:tc>
      </w:tr>
      <w:tr>
        <w:tc>
          <w:tcPr>
            <w:tcW w:type="dxa" w:w="1181"/>
            <w:vAlign w:val="center"/>
          </w:tcPr>
          <w:p>
            <w:pPr>
              <w:pStyle w:val="Compact"/>
              <w:spacing w:after="20" w:before="0"/>
              <w:jc w:val="left"/>
            </w:pPr>
            <w:r>
              <w:rPr>
                <w:sz w:val="16"/>
              </w:rPr>
              <w:t xml:space="preserve">OPS-002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Persist all committed configuration, states and events across a clean restart.</w:t>
            </w:r>
          </w:p>
        </w:tc>
      </w:tr>
      <w:tr>
        <w:tc>
          <w:tcPr>
            <w:tcW w:type="dxa" w:w="1181"/>
            <w:vAlign w:val="center"/>
          </w:tcPr>
          <w:p>
            <w:pPr>
              <w:pStyle w:val="Compact"/>
              <w:spacing w:after="20" w:before="0"/>
              <w:jc w:val="left"/>
            </w:pPr>
            <w:r>
              <w:rPr>
                <w:sz w:val="16"/>
              </w:rPr>
              <w:t xml:space="preserve">OPS-003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Expose structured service health, resource usage and error logs without credentials or image contents.</w:t>
            </w:r>
          </w:p>
        </w:tc>
      </w:tr>
      <w:tr>
        <w:tc>
          <w:tcPr>
            <w:tcW w:type="dxa" w:w="1181"/>
            <w:vAlign w:val="center"/>
          </w:tcPr>
          <w:p>
            <w:pPr>
              <w:pStyle w:val="Compact"/>
              <w:spacing w:after="20" w:before="0"/>
              <w:jc w:val="left"/>
            </w:pPr>
            <w:r>
              <w:rPr>
                <w:sz w:val="16"/>
              </w:rPr>
              <w:t xml:space="preserve">OPS-004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Export/import configuration with schema version and compatibility checks.</w:t>
            </w:r>
          </w:p>
        </w:tc>
      </w:tr>
      <w:tr>
        <w:tc>
          <w:tcPr>
            <w:tcW w:type="dxa" w:w="1181"/>
            <w:vAlign w:val="center"/>
          </w:tcPr>
          <w:p>
            <w:pPr>
              <w:pStyle w:val="Compact"/>
              <w:spacing w:after="20" w:before="0"/>
              <w:jc w:val="left"/>
            </w:pPr>
            <w:r>
              <w:rPr>
                <w:sz w:val="16"/>
              </w:rPr>
              <w:t xml:space="preserve">OPS-005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Backup and restore configuration, event data and referenced evidence consistently.</w:t>
            </w:r>
          </w:p>
        </w:tc>
      </w:tr>
      <w:tr>
        <w:tc>
          <w:tcPr>
            <w:tcW w:type="dxa" w:w="1181"/>
            <w:vAlign w:val="center"/>
          </w:tcPr>
          <w:p>
            <w:pPr>
              <w:pStyle w:val="Compact"/>
              <w:spacing w:after="20" w:before="0"/>
              <w:jc w:val="left"/>
            </w:pPr>
            <w:r>
              <w:rPr>
                <w:sz w:val="16"/>
              </w:rPr>
              <w:t xml:space="preserve">OPS-006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Include first-run setup and a Windows-friendly development/installation guide.</w:t>
            </w:r>
          </w:p>
        </w:tc>
      </w:tr>
      <w:tr>
        <w:tc>
          <w:tcPr>
            <w:tcW w:type="dxa" w:w="1181"/>
            <w:vAlign w:val="center"/>
          </w:tcPr>
          <w:p>
            <w:pPr>
              <w:pStyle w:val="Compact"/>
              <w:spacing w:after="20" w:before="0"/>
              <w:jc w:val="left"/>
            </w:pPr>
            <w:r>
              <w:rPr>
                <w:sz w:val="16"/>
              </w:rPr>
              <w:t xml:space="preserve">OPS-007</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Offer controlled retention settings and a preview of expected deletion effects.</w:t>
            </w:r>
          </w:p>
        </w:tc>
      </w:tr>
      <w:tr>
        <w:tc>
          <w:tcPr>
            <w:tcW w:type="dxa" w:w="1181"/>
            <w:vAlign w:val="center"/>
          </w:tcPr>
          <w:p>
            <w:pPr>
              <w:pStyle w:val="Compact"/>
              <w:spacing w:after="20" w:before="0"/>
              <w:jc w:val="left"/>
            </w:pPr>
            <w:r>
              <w:rPr>
                <w:sz w:val="16"/>
              </w:rPr>
              <w:t xml:space="preserve">OPS-008</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Migrate database schema forward with rollback/backup guidance; never silently discard recorded events.</w:t>
            </w:r>
          </w:p>
        </w:tc>
      </w:tr>
      <w:tr>
        <w:tc>
          <w:tcPr>
            <w:tcW w:type="dxa" w:w="1181"/>
            <w:vAlign w:val="center"/>
          </w:tcPr>
          <w:p>
            <w:pPr>
              <w:pStyle w:val="Compact"/>
              <w:spacing w:after="20" w:before="0"/>
              <w:jc w:val="left"/>
            </w:pPr>
            <w:r>
              <w:rPr>
                <w:sz w:val="16"/>
              </w:rPr>
              <w:t xml:space="preserve">OPS-009</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Package a production Linux/Docker Compose distribution.</w:t>
            </w:r>
          </w:p>
        </w:tc>
      </w:tr>
      <w:tr>
        <w:tc>
          <w:tcPr>
            <w:tcW w:type="dxa" w:w="1181"/>
            <w:vAlign w:val="center"/>
          </w:tcPr>
          <w:p>
            <w:pPr>
              <w:pStyle w:val="Compact"/>
              <w:spacing w:after="20" w:before="0"/>
              <w:jc w:val="left"/>
            </w:pPr>
            <w:r>
              <w:rPr>
                <w:sz w:val="16"/>
              </w:rPr>
              <w:t xml:space="preserve">OPS-010</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Support processing workers across hosts and central scheduling/failover.</w:t>
            </w:r>
          </w:p>
        </w:tc>
      </w:tr>
      <w:tr>
        <w:tc>
          <w:tcPr>
            <w:tcW w:type="dxa" w:w="1181"/>
            <w:vAlign w:val="center"/>
          </w:tcPr>
          <w:p>
            <w:pPr>
              <w:pStyle w:val="Compact"/>
              <w:spacing w:after="20" w:before="0"/>
              <w:jc w:val="left"/>
            </w:pPr>
            <w:r>
              <w:rPr>
                <w:sz w:val="16"/>
              </w:rPr>
              <w:t xml:space="preserve">OPS-011</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Integrate external identity providers and organisation group mapping.</w:t>
            </w:r>
          </w:p>
        </w:tc>
      </w:tr>
      <w:tr>
        <w:tc>
          <w:tcPr>
            <w:tcW w:type="dxa" w:w="1181"/>
            <w:vAlign w:val="center"/>
          </w:tcPr>
          <w:p>
            <w:pPr>
              <w:pStyle w:val="Compact"/>
              <w:spacing w:after="20" w:before="0"/>
              <w:jc w:val="left"/>
            </w:pPr>
            <w:r>
              <w:rPr>
                <w:sz w:val="16"/>
              </w:rPr>
              <w:t xml:space="preserve">OPS-012</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Add signed plugin packages and managed plugin lifecycle.</w:t>
            </w:r>
          </w:p>
        </w:tc>
      </w:tr>
    </w:tbl>
    <w:bookmarkEnd w:id="42"/>
    <w:bookmarkEnd w:id="43"/>
    <w:bookmarkStart w:id="46" w:name="non-functional-requirements"/>
    <w:p>
      <w:pPr>
        <w:pStyle w:val="Heading2"/>
      </w:pPr>
      <w:r>
        <w:t xml:space="preserve">5. Non-functional requirements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81"/>
        <w:gridCol w:w="907"/>
        <w:gridCol w:w="7445"/>
      </w:tblGrid>
      <w:tr>
        <w:trPr>
          <w:tblHeader w:val="on"/>
          <w:tblHeader w:val="true"/>
        </w:trPr>
        <w:tc>
          <w:tcPr>
            <w:tcW w:type="dxa" w:w="1181"/>
            <w:vAlign w:val="center"/>
          </w:tcPr>
          <w:p>
            <w:pPr>
              <w:pStyle w:val="Compact"/>
              <w:spacing w:after="20" w:before="0"/>
              <w:jc w:val="left"/>
            </w:pPr>
            <w:r>
              <w:rPr>
                <w:b/>
                <w:sz w:val="16"/>
              </w:rPr>
              <w:t xml:space="preserve">ID</w:t>
            </w:r>
          </w:p>
        </w:tc>
        <w:tc>
          <w:tcPr>
            <w:tcW w:type="dxa" w:w="907"/>
            <w:vAlign w:val="center"/>
          </w:tcPr>
          <w:p>
            <w:pPr>
              <w:pStyle w:val="Compact"/>
              <w:spacing w:after="20" w:before="0"/>
              <w:jc w:val="left"/>
            </w:pPr>
            <w:r>
              <w:rPr>
                <w:b/>
                <w:sz w:val="16"/>
              </w:rPr>
              <w:t xml:space="preserve">Phase</w:t>
            </w:r>
          </w:p>
        </w:tc>
        <w:tc>
          <w:tcPr>
            <w:tcW w:type="dxa" w:w="7445"/>
            <w:vAlign w:val="center"/>
          </w:tcPr>
          <w:p>
            <w:pPr>
              <w:pStyle w:val="Compact"/>
              <w:spacing w:after="20" w:before="0"/>
              <w:jc w:val="left"/>
            </w:pPr>
            <w:r>
              <w:rPr>
                <w:b/>
                <w:sz w:val="16"/>
              </w:rPr>
              <w:t xml:space="preserve">Requirement / validation</w:t>
            </w:r>
          </w:p>
        </w:tc>
      </w:tr>
      <w:tr>
        <w:tc>
          <w:tcPr>
            <w:tcW w:type="dxa" w:w="1181"/>
            <w:vAlign w:val="center"/>
          </w:tcPr>
          <w:p>
            <w:pPr>
              <w:pStyle w:val="Compact"/>
              <w:spacing w:after="20" w:before="0"/>
              <w:jc w:val="left"/>
            </w:pPr>
            <w:r>
              <w:rPr>
                <w:sz w:val="16"/>
              </w:rPr>
              <w:t xml:space="preserve">NFR-001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Local-first: core acquisition, inference, processing and dashboard shall operate without internet after installation and model download.</w:t>
            </w:r>
          </w:p>
        </w:tc>
      </w:tr>
      <w:tr>
        <w:tc>
          <w:tcPr>
            <w:tcW w:type="dxa" w:w="1181"/>
            <w:vAlign w:val="center"/>
          </w:tcPr>
          <w:p>
            <w:pPr>
              <w:pStyle w:val="Compact"/>
              <w:spacing w:after="20" w:before="0"/>
              <w:jc w:val="left"/>
            </w:pPr>
            <w:r>
              <w:rPr>
                <w:sz w:val="16"/>
              </w:rPr>
              <w:t xml:space="preserve">NFR-002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No silent data loss: every skipped evaluation due to overload shall be counted with a reason.</w:t>
            </w:r>
          </w:p>
        </w:tc>
      </w:tr>
      <w:tr>
        <w:tc>
          <w:tcPr>
            <w:tcW w:type="dxa" w:w="1181"/>
            <w:vAlign w:val="center"/>
          </w:tcPr>
          <w:p>
            <w:pPr>
              <w:pStyle w:val="Compact"/>
              <w:spacing w:after="20" w:before="0"/>
              <w:jc w:val="left"/>
            </w:pPr>
            <w:r>
              <w:rPr>
                <w:sz w:val="16"/>
              </w:rPr>
              <w:t xml:space="preserve">NFR-003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Queue memory use shall be bounded by documented configuration limits and verified in a 60-minute overload test.</w:t>
            </w:r>
          </w:p>
        </w:tc>
      </w:tr>
      <w:tr>
        <w:tc>
          <w:tcPr>
            <w:tcW w:type="dxa" w:w="1181"/>
            <w:vAlign w:val="center"/>
          </w:tcPr>
          <w:p>
            <w:pPr>
              <w:pStyle w:val="Compact"/>
              <w:spacing w:after="20" w:before="0"/>
              <w:jc w:val="left"/>
            </w:pPr>
            <w:r>
              <w:rPr>
                <w:sz w:val="16"/>
              </w:rPr>
              <w:t xml:space="preserve">NFR-004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System shall restart after a killed processing worker without corrupting durable event records; simulate forced termination.</w:t>
            </w:r>
          </w:p>
        </w:tc>
      </w:tr>
      <w:tr>
        <w:tc>
          <w:tcPr>
            <w:tcW w:type="dxa" w:w="1181"/>
            <w:vAlign w:val="center"/>
          </w:tcPr>
          <w:p>
            <w:pPr>
              <w:pStyle w:val="Compact"/>
              <w:spacing w:after="20" w:before="0"/>
              <w:jc w:val="left"/>
            </w:pPr>
            <w:r>
              <w:rPr>
                <w:sz w:val="16"/>
              </w:rPr>
              <w:t xml:space="preserve">NFR-005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All persisted timestamps shall include UTC instants; UI shall render local time correctly across UK DST changes.</w:t>
            </w:r>
          </w:p>
        </w:tc>
      </w:tr>
      <w:tr>
        <w:tc>
          <w:tcPr>
            <w:tcW w:type="dxa" w:w="1181"/>
            <w:vAlign w:val="center"/>
          </w:tcPr>
          <w:p>
            <w:pPr>
              <w:pStyle w:val="Compact"/>
              <w:spacing w:after="20" w:before="0"/>
              <w:jc w:val="left"/>
            </w:pPr>
            <w:r>
              <w:rPr>
                <w:sz w:val="16"/>
              </w:rPr>
              <w:t xml:space="preserve">NFR-006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Admin HTTP endpoints shall require authentication; unauthorised access returns denial and audit entry.</w:t>
            </w:r>
          </w:p>
        </w:tc>
      </w:tr>
      <w:tr>
        <w:tc>
          <w:tcPr>
            <w:tcW w:type="dxa" w:w="1181"/>
            <w:vAlign w:val="center"/>
          </w:tcPr>
          <w:p>
            <w:pPr>
              <w:pStyle w:val="Compact"/>
              <w:spacing w:after="20" w:before="0"/>
              <w:jc w:val="left"/>
            </w:pPr>
            <w:r>
              <w:rPr>
                <w:sz w:val="16"/>
              </w:rPr>
              <w:t xml:space="preserve">NFR-007</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Source credentials shall be stored via a protected secret mechanism, not in plaintext configuration exports.</w:t>
            </w:r>
          </w:p>
        </w:tc>
      </w:tr>
      <w:tr>
        <w:tc>
          <w:tcPr>
            <w:tcW w:type="dxa" w:w="1181"/>
            <w:vAlign w:val="center"/>
          </w:tcPr>
          <w:p>
            <w:pPr>
              <w:pStyle w:val="Compact"/>
              <w:spacing w:after="20" w:before="0"/>
              <w:jc w:val="left"/>
            </w:pPr>
            <w:r>
              <w:rPr>
                <w:sz w:val="16"/>
              </w:rPr>
              <w:t xml:space="preserve">NFR-008</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HTTPS shall be required for non-loopback dashboard sessions in production deployments.</w:t>
            </w:r>
          </w:p>
        </w:tc>
      </w:tr>
      <w:tr>
        <w:tc>
          <w:tcPr>
            <w:tcW w:type="dxa" w:w="1181"/>
            <w:vAlign w:val="center"/>
          </w:tcPr>
          <w:p>
            <w:pPr>
              <w:pStyle w:val="Compact"/>
              <w:spacing w:after="20" w:before="0"/>
              <w:jc w:val="left"/>
            </w:pPr>
            <w:r>
              <w:rPr>
                <w:sz w:val="16"/>
              </w:rPr>
              <w:t xml:space="preserve">NFR-009</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Imported URLs shall be checked against explicit allow-lists/network restrictions to prevent server-side request forgery (SSRF).</w:t>
            </w:r>
          </w:p>
        </w:tc>
      </w:tr>
      <w:tr>
        <w:tc>
          <w:tcPr>
            <w:tcW w:type="dxa" w:w="1181"/>
            <w:vAlign w:val="center"/>
          </w:tcPr>
          <w:p>
            <w:pPr>
              <w:pStyle w:val="Compact"/>
              <w:spacing w:after="20" w:before="0"/>
              <w:jc w:val="left"/>
            </w:pPr>
            <w:r>
              <w:rPr>
                <w:sz w:val="16"/>
              </w:rPr>
              <w:t xml:space="preserve">NFR-010</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Operators shall be able to configure evidence off and delete retained images independently of derived metrics.</w:t>
            </w:r>
          </w:p>
        </w:tc>
      </w:tr>
      <w:tr>
        <w:tc>
          <w:tcPr>
            <w:tcW w:type="dxa" w:w="1181"/>
            <w:vAlign w:val="center"/>
          </w:tcPr>
          <w:p>
            <w:pPr>
              <w:pStyle w:val="Compact"/>
              <w:spacing w:after="20" w:before="0"/>
              <w:jc w:val="left"/>
            </w:pPr>
            <w:r>
              <w:rPr>
                <w:sz w:val="16"/>
              </w:rPr>
              <w:t xml:space="preserve">NFR-011</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UI shall support keyboard interaction, descriptive error messages and meaningful chart text alternatives.</w:t>
            </w:r>
          </w:p>
        </w:tc>
      </w:tr>
      <w:tr>
        <w:tc>
          <w:tcPr>
            <w:tcW w:type="dxa" w:w="1181"/>
            <w:vAlign w:val="center"/>
          </w:tcPr>
          <w:p>
            <w:pPr>
              <w:pStyle w:val="Compact"/>
              <w:spacing w:after="20" w:before="0"/>
              <w:jc w:val="left"/>
            </w:pPr>
            <w:r>
              <w:rPr>
                <w:sz w:val="16"/>
              </w:rPr>
              <w:t xml:space="preserve">NFR-012</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Installation shall document CPU, RAM, disk, OS and codec requirements from observed benchmark results, not guesses.</w:t>
            </w:r>
          </w:p>
        </w:tc>
      </w:tr>
      <w:tr>
        <w:tc>
          <w:tcPr>
            <w:tcW w:type="dxa" w:w="1181"/>
            <w:vAlign w:val="center"/>
          </w:tcPr>
          <w:p>
            <w:pPr>
              <w:pStyle w:val="Compact"/>
              <w:spacing w:after="20" w:before="0"/>
              <w:jc w:val="left"/>
            </w:pPr>
            <w:r>
              <w:rPr>
                <w:sz w:val="16"/>
              </w:rPr>
              <w:t xml:space="preserve">NFR-013</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Every event/metric shall retain a reference to query/model versions used to derive it.</w:t>
            </w:r>
          </w:p>
        </w:tc>
      </w:tr>
      <w:tr>
        <w:tc>
          <w:tcPr>
            <w:tcW w:type="dxa" w:w="1181"/>
            <w:vAlign w:val="center"/>
          </w:tcPr>
          <w:p>
            <w:pPr>
              <w:pStyle w:val="Compact"/>
              <w:spacing w:after="20" w:before="0"/>
              <w:jc w:val="left"/>
            </w:pPr>
            <w:r>
              <w:rPr>
                <w:sz w:val="16"/>
              </w:rPr>
              <w:t xml:space="preserve">NFR-014</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All user-entered text shall be handled safely in UI/log rendering; test for stored XSS.</w:t>
            </w:r>
          </w:p>
        </w:tc>
      </w:tr>
      <w:tr>
        <w:tc>
          <w:tcPr>
            <w:tcW w:type="dxa" w:w="1181"/>
            <w:vAlign w:val="center"/>
          </w:tcPr>
          <w:p>
            <w:pPr>
              <w:pStyle w:val="Compact"/>
              <w:spacing w:after="20" w:before="0"/>
              <w:jc w:val="left"/>
            </w:pPr>
            <w:r>
              <w:rPr>
                <w:sz w:val="16"/>
              </w:rPr>
              <w:t xml:space="preserve">NFR-015</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Deletion and retention shall remove database references and underlying evidence files, subject to documented legal hold.</w:t>
            </w:r>
          </w:p>
        </w:tc>
      </w:tr>
      <w:tr>
        <w:tc>
          <w:tcPr>
            <w:tcW w:type="dxa" w:w="1181"/>
            <w:vAlign w:val="center"/>
          </w:tcPr>
          <w:p>
            <w:pPr>
              <w:pStyle w:val="Compact"/>
              <w:spacing w:after="20" w:before="0"/>
              <w:jc w:val="left"/>
            </w:pPr>
            <w:r>
              <w:rPr>
                <w:sz w:val="16"/>
              </w:rPr>
              <w:t xml:space="preserve">NFR-016</w:t>
            </w:r>
          </w:p>
        </w:tc>
        <w:tc>
          <w:tcPr>
            <w:tcW w:type="dxa" w:w="907"/>
            <w:vAlign w:val="center"/>
          </w:tcPr>
          <w:p>
            <w:pPr>
              <w:pStyle w:val="Compact"/>
              <w:spacing w:after="20" w:before="0"/>
              <w:jc w:val="left"/>
            </w:pPr>
            <w:r>
              <w:rPr>
                <w:sz w:val="16"/>
              </w:rPr>
              <w:t xml:space="preserve">MVP</w:t>
            </w:r>
          </w:p>
        </w:tc>
        <w:tc>
          <w:tcPr>
            <w:tcW w:type="dxa" w:w="7445"/>
            <w:vAlign w:val="center"/>
          </w:tcPr>
          <w:p>
            <w:pPr>
              <w:pStyle w:val="Compact"/>
              <w:spacing w:after="20" w:before="0"/>
              <w:jc w:val="left"/>
            </w:pPr>
            <w:r>
              <w:rPr>
                <w:sz w:val="16"/>
              </w:rPr>
              <w:t xml:space="preserve">System shall include automated tests at unit, integration and browser acceptance layers.</w:t>
            </w:r>
          </w:p>
        </w:tc>
      </w:tr>
      <w:tr>
        <w:tc>
          <w:tcPr>
            <w:tcW w:type="dxa" w:w="1181"/>
            <w:vAlign w:val="center"/>
          </w:tcPr>
          <w:p>
            <w:pPr>
              <w:pStyle w:val="Compact"/>
              <w:spacing w:after="20" w:before="0"/>
              <w:jc w:val="left"/>
            </w:pPr>
            <w:r>
              <w:rPr>
                <w:sz w:val="16"/>
              </w:rPr>
              <w:t xml:space="preserve">NFR-017</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Distributed nodes shall use authenticated encrypted transport, worker identities and replay-safe messaging.</w:t>
            </w:r>
          </w:p>
        </w:tc>
      </w:tr>
      <w:tr>
        <w:tc>
          <w:tcPr>
            <w:tcW w:type="dxa" w:w="1181"/>
            <w:vAlign w:val="center"/>
          </w:tcPr>
          <w:p>
            <w:pPr>
              <w:pStyle w:val="Compact"/>
              <w:spacing w:after="20" w:before="0"/>
              <w:jc w:val="left"/>
            </w:pPr>
            <w:r>
              <w:rPr>
                <w:sz w:val="16"/>
              </w:rPr>
              <w:t xml:space="preserve">NFR-018</w:t>
            </w:r>
          </w:p>
        </w:tc>
        <w:tc>
          <w:tcPr>
            <w:tcW w:type="dxa" w:w="907"/>
            <w:vAlign w:val="center"/>
          </w:tcPr>
          <w:p>
            <w:pPr>
              <w:pStyle w:val="Compact"/>
              <w:spacing w:after="20" w:before="0"/>
              <w:jc w:val="left"/>
            </w:pPr>
            <w:r>
              <w:rPr>
                <w:sz w:val="16"/>
              </w:rPr>
              <w:t xml:space="preserve">Later</w:t>
            </w:r>
          </w:p>
        </w:tc>
        <w:tc>
          <w:tcPr>
            <w:tcW w:type="dxa" w:w="7445"/>
            <w:vAlign w:val="center"/>
          </w:tcPr>
          <w:p>
            <w:pPr>
              <w:pStyle w:val="Compact"/>
              <w:spacing w:after="20" w:before="0"/>
              <w:jc w:val="left"/>
            </w:pPr>
            <w:r>
              <w:rPr>
                <w:sz w:val="16"/>
              </w:rPr>
              <w:t xml:space="preserve">Define site-specific latency, camera capacity and uptime objectives after benchmarking actual installations.</w:t>
            </w:r>
          </w:p>
        </w:tc>
      </w:tr>
    </w:tbl>
    <w:bookmarkStart w:id="44" w:name="capacity-targets-and-limits"/>
    <w:p>
      <w:pPr>
        <w:pStyle w:val="Heading3"/>
      </w:pPr>
      <w:r>
        <w:t xml:space="preserve">5.1 Capacity targets and limits</w:t>
      </w:r>
    </w:p>
    <w:p>
      <w:pPr>
        <w:pStyle w:val="FirstParagraph"/>
      </w:pPr>
      <w:r>
        <w:t xml:space="preserve">No claim of real-time performance on the Dell i5-10310U / 16 GB laptop is made at v0.2. A feasibility gate shall measure model load success, peak resident memory, first and steady-state inference latency, and throughput for 1/3/5 questions per image. Initial defaults will favour sparse snapshots and event-driven sampling. The scheduler must avoid accumulating obsolete frames when jobs run slower than capture. Any production-specific throughput objective shall be agreed from empirical measurements.</w:t>
      </w:r>
    </w:p>
    <w:bookmarkEnd w:id="44"/>
    <w:bookmarkStart w:id="45" w:name="accuracy-and-limitations"/>
    <w:p>
      <w:pPr>
        <w:pStyle w:val="Heading3"/>
      </w:pPr>
      <w:r>
        <w:t xml:space="preserve">5.2 Accuracy and limitations</w:t>
      </w:r>
    </w:p>
    <w:p>
      <w:pPr>
        <w:pStyle w:val="FirstParagraph"/>
      </w:pPr>
      <w:r>
        <w:t xml:space="preserve">Accuracy is workload-specific. Each pilot use case shall have labelled positive, negative and difficult frames, with sensitivity, precision/false-alert rate, confusion matrix (where relevant), latency and unknown rate recorded. Negative-frame tests shall include shadows, reflections, night vision, partial occlusion and image quality changes. Vision-based flood monitoring is supplementary to leak sensors; people counting and exact object counts require validation and may need specialist tracking.</w:t>
      </w:r>
    </w:p>
    <w:bookmarkEnd w:id="45"/>
    <w:bookmarkEnd w:id="46"/>
    <w:bookmarkStart w:id="52" w:name="X05b05b0bd834174720ab790f2e482daf3c3fba3"/>
    <w:p>
      <w:pPr>
        <w:pStyle w:val="Heading2"/>
      </w:pPr>
      <w:r>
        <w:t xml:space="preserve">6. Architecture and component responsibilities</w:t>
      </w:r>
    </w:p>
    <w:p>
      <w:pPr>
        <w:pStyle w:val="CaptionedFigure"/>
      </w:pPr>
      <w:r>
        <w:drawing>
          <wp:inline>
            <wp:extent cx="5334000" cy="1646932"/>
            <wp:effectExtent b="0" l="0" r="0" t="0"/>
            <wp:docPr descr="Logical architecture of capture, analysis, measurement, persistence and delivery" title="" id="48" name="Picture"/>
            <a:graphic>
              <a:graphicData uri="http://schemas.openxmlformats.org/drawingml/2006/picture">
                <pic:pic>
                  <pic:nvPicPr>
                    <pic:cNvPr descr="assets/architecture.png" id="49" name="Picture"/>
                    <pic:cNvPicPr>
                      <a:picLocks noChangeArrowheads="1" noChangeAspect="1"/>
                    </pic:cNvPicPr>
                  </pic:nvPicPr>
                  <pic:blipFill>
                    <a:blip r:embed="rId47"/>
                    <a:stretch>
                      <a:fillRect/>
                    </a:stretch>
                  </pic:blipFill>
                  <pic:spPr bwMode="auto">
                    <a:xfrm>
                      <a:off x="0" y="0"/>
                      <a:ext cx="5334000" cy="1646932"/>
                    </a:xfrm>
                    <a:prstGeom prst="rect">
                      <a:avLst/>
                    </a:prstGeom>
                    <a:noFill/>
                    <a:ln w="9525">
                      <a:noFill/>
                      <a:headEnd/>
                      <a:tailEnd/>
                    </a:ln>
                  </pic:spPr>
                </pic:pic>
              </a:graphicData>
            </a:graphic>
          </wp:inline>
        </w:drawing>
      </w:r>
    </w:p>
    <w:p>
      <w:pPr>
        <w:pStyle w:val="ImageCaption"/>
      </w:pPr>
      <w:r>
        <w:t xml:space="preserve">Logical architecture of capture, analysis, measurement, persistence and delivery</w:t>
      </w:r>
    </w:p>
    <w:p>
      <w:pPr>
        <w:pStyle w:val="BodyText"/>
      </w:pPr>
      <w:r>
        <w:rPr>
          <w:b/>
          <w:bCs/>
        </w:rPr>
        <w:t xml:space="preserve">Source adapters:</w:t>
      </w:r>
      <w:r>
        <w:t xml:space="preserve"> </w:t>
      </w:r>
      <w:r>
        <w:t xml:space="preserve">Discover/open/poll and produce frames with source ID, capture UTC timestamp, sequence, media type and health. Credentials remain inside the adapter/secret store.</w:t>
      </w:r>
    </w:p>
    <w:p>
      <w:pPr>
        <w:pStyle w:val="BodyText"/>
      </w:pPr>
      <w:r>
        <w:rPr>
          <w:b/>
          <w:bCs/>
        </w:rPr>
        <w:t xml:space="preserve">Preprocessing:</w:t>
      </w:r>
      <w:r>
        <w:t xml:space="preserve"> </w:t>
      </w:r>
      <w:r>
        <w:t xml:space="preserve">Rotate, resize, mask private regions, crop query ROIs and record image transformations. An unmasked original may only be retained if explicitly permitted by policy.</w:t>
      </w:r>
    </w:p>
    <w:p>
      <w:pPr>
        <w:pStyle w:val="BodyText"/>
      </w:pPr>
      <w:r>
        <w:rPr>
          <w:b/>
          <w:bCs/>
        </w:rPr>
        <w:t xml:space="preserve">Inference scheduler:</w:t>
      </w:r>
      <w:r>
        <w:t xml:space="preserve"> </w:t>
      </w:r>
      <w:r>
        <w:t xml:space="preserve">Coalesce compatible questions, assign priority, manage resource budgets, discard stale periodic frames, and preserve provenance and skip statistics.</w:t>
      </w:r>
    </w:p>
    <w:p>
      <w:pPr>
        <w:pStyle w:val="BodyText"/>
      </w:pPr>
      <w:r>
        <w:rPr>
          <w:b/>
          <w:bCs/>
        </w:rPr>
        <w:t xml:space="preserve">Inference engines:</w:t>
      </w:r>
      <w:r>
        <w:t xml:space="preserve"> </w:t>
      </w:r>
      <w:r>
        <w:t xml:space="preserve">Load a model, accept structured questions and image reference(s), return typed provider responses with timing and capability information; no downstream service should know d1-3B-specific field names.</w:t>
      </w:r>
    </w:p>
    <w:p>
      <w:pPr>
        <w:pStyle w:val="BodyText"/>
      </w:pPr>
      <w:r>
        <w:rPr>
          <w:b/>
          <w:bCs/>
        </w:rPr>
        <w:t xml:space="preserve">Measurement engine:</w:t>
      </w:r>
      <w:r>
        <w:t xml:space="preserve"> </w:t>
      </w:r>
      <w:r>
        <w:t xml:space="preserve">Normalise per-frame decisions, apply state machines, produce episodes and aggregate metrics; support deterministic replay after query changes when explicitly requested.</w:t>
      </w:r>
    </w:p>
    <w:p>
      <w:pPr>
        <w:pStyle w:val="BodyText"/>
      </w:pPr>
      <w:r>
        <w:rPr>
          <w:b/>
          <w:bCs/>
        </w:rPr>
        <w:t xml:space="preserve">Rules and sinks:</w:t>
      </w:r>
      <w:r>
        <w:t xml:space="preserve"> </w:t>
      </w:r>
      <w:r>
        <w:t xml:space="preserve">Evaluate criteria over events/metrics and send idempotent notifications. A rule cannot override source UNKNOWN into an asserted safe condition.</w:t>
      </w:r>
    </w:p>
    <w:p>
      <w:pPr>
        <w:pStyle w:val="BodyText"/>
      </w:pPr>
      <w:r>
        <w:rPr>
          <w:b/>
          <w:bCs/>
        </w:rPr>
        <w:t xml:space="preserve">Persistence/API:</w:t>
      </w:r>
      <w:r>
        <w:t xml:space="preserve"> </w:t>
      </w:r>
      <w:r>
        <w:t xml:space="preserve">Store configuration, immutable versions, observations, events and evidence references; provide authorised REST/WebSocket data to browser clients.</w:t>
      </w:r>
    </w:p>
    <w:bookmarkStart w:id="50" w:name="deployment-profiles"/>
    <w:p>
      <w:pPr>
        <w:pStyle w:val="Heading3"/>
      </w:pPr>
      <w:r>
        <w:t xml:space="preserve">6.1 Deployment profiles</w:t>
      </w:r>
    </w:p>
    <w:p>
      <w:pPr>
        <w:pStyle w:val="Compact"/>
        <w:numPr>
          <w:ilvl w:val="0"/>
          <w:numId w:val="1006"/>
        </w:numPr>
      </w:pPr>
      <w:r>
        <w:rPr>
          <w:b/>
          <w:bCs/>
        </w:rPr>
        <w:t xml:space="preserve">Development/laptop:</w:t>
      </w:r>
      <w:r>
        <w:t xml:space="preserve"> </w:t>
      </w:r>
      <w:r>
        <w:t xml:space="preserve">One process group with FastAPI, SQLite, local evidence storage and a CPU inference process. A local webcam or imported image is the first test source.</w:t>
      </w:r>
    </w:p>
    <w:p>
      <w:pPr>
        <w:pStyle w:val="Compact"/>
        <w:numPr>
          <w:ilvl w:val="0"/>
          <w:numId w:val="1006"/>
        </w:numPr>
      </w:pPr>
      <w:r>
        <w:rPr>
          <w:b/>
          <w:bCs/>
        </w:rPr>
        <w:t xml:space="preserve">Home server:</w:t>
      </w:r>
      <w:r>
        <w:t xml:space="preserve"> </w:t>
      </w:r>
      <w:r>
        <w:t xml:space="preserve">Docker Compose or native services, with RTSP input and optional accelerated model worker; storage may be local disk or network storage with explicit access controls.</w:t>
      </w:r>
    </w:p>
    <w:p>
      <w:pPr>
        <w:pStyle w:val="Compact"/>
        <w:numPr>
          <w:ilvl w:val="0"/>
          <w:numId w:val="1006"/>
        </w:numPr>
      </w:pPr>
      <w:r>
        <w:rPr>
          <w:b/>
          <w:bCs/>
        </w:rPr>
        <w:t xml:space="preserve">Enterprise:</w:t>
      </w:r>
      <w:r>
        <w:t xml:space="preserve"> </w:t>
      </w:r>
      <w:r>
        <w:t xml:space="preserve">Segmented network capture agents, separate model workers, PostgreSQL, role-mapped authentication, managed secrets and monitored backups. Enterprise integration is a Later profile, not a statement of current approval.</w:t>
      </w:r>
    </w:p>
    <w:bookmarkEnd w:id="50"/>
    <w:bookmarkStart w:id="51" w:name="failure-domain-design"/>
    <w:p>
      <w:pPr>
        <w:pStyle w:val="Heading3"/>
      </w:pPr>
      <w:r>
        <w:t xml:space="preserve">6.2 Failure-domain design</w:t>
      </w:r>
    </w:p>
    <w:p>
      <w:pPr>
        <w:pStyle w:val="FirstParagraph"/>
      </w:pPr>
      <w:r>
        <w:t xml:space="preserve">Each adapter and inference engine shall fail without taking down the dashboard. Capture, inference and database operations shall use explicit timeouts. Restarting one model worker shall not invalidate old observations. Browser disconnects shall not stop scheduling. Disk-full, clock skew and database-unavailable conditions shall surface as degraded state and prevent misleading successful-status reporting.</w:t>
      </w:r>
    </w:p>
    <w:bookmarkEnd w:id="51"/>
    <w:bookmarkEnd w:id="52"/>
    <w:bookmarkStart w:id="59" w:name="core-information-model"/>
    <w:p>
      <w:pPr>
        <w:pStyle w:val="Heading2"/>
      </w:pPr>
      <w:r>
        <w:t xml:space="preserve">7. Core information model</w:t>
      </w:r>
    </w:p>
    <w:p>
      <w:pPr>
        <w:pStyle w:val="CaptionedFigure"/>
      </w:pPr>
      <w:r>
        <w:drawing>
          <wp:inline>
            <wp:extent cx="5334000" cy="6277707"/>
            <wp:effectExtent b="0" l="0" r="0" t="0"/>
            <wp:docPr descr="Entity relationships for source, query versions, observations, events, metrics and evidence" title="" id="54" name="Picture"/>
            <a:graphic>
              <a:graphicData uri="http://schemas.openxmlformats.org/drawingml/2006/picture">
                <pic:pic>
                  <pic:nvPicPr>
                    <pic:cNvPr descr="assets/data-model.png" id="55" name="Picture"/>
                    <pic:cNvPicPr>
                      <a:picLocks noChangeArrowheads="1" noChangeAspect="1"/>
                    </pic:cNvPicPr>
                  </pic:nvPicPr>
                  <pic:blipFill>
                    <a:blip r:embed="rId53"/>
                    <a:stretch>
                      <a:fillRect/>
                    </a:stretch>
                  </pic:blipFill>
                  <pic:spPr bwMode="auto">
                    <a:xfrm>
                      <a:off x="0" y="0"/>
                      <a:ext cx="5334000" cy="6277707"/>
                    </a:xfrm>
                    <a:prstGeom prst="rect">
                      <a:avLst/>
                    </a:prstGeom>
                    <a:noFill/>
                    <a:ln w="9525">
                      <a:noFill/>
                      <a:headEnd/>
                      <a:tailEnd/>
                    </a:ln>
                  </pic:spPr>
                </pic:pic>
              </a:graphicData>
            </a:graphic>
          </wp:inline>
        </w:drawing>
      </w:r>
    </w:p>
    <w:p>
      <w:pPr>
        <w:pStyle w:val="ImageCaption"/>
      </w:pPr>
      <w:r>
        <w:t xml:space="preserve">Entity relationships for source, query versions, observations, events, metrics and evidence</w:t>
      </w:r>
    </w:p>
    <w:bookmarkStart w:id="56" w:name="entity-dictionary"/>
    <w:p>
      <w:pPr>
        <w:pStyle w:val="Heading3"/>
      </w:pPr>
      <w:r>
        <w:t xml:space="preserve">7.1 Entity dictionary</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440"/>
        <w:gridCol w:w="3600"/>
        <w:gridCol w:w="4493"/>
      </w:tblGrid>
      <w:tr>
        <w:trPr>
          <w:tblHeader w:val="on"/>
          <w:tblHeader w:val="true"/>
        </w:trPr>
        <w:tc>
          <w:tcPr>
            <w:tcW w:type="dxa" w:w="1440"/>
            <w:vAlign w:val="center"/>
          </w:tcPr>
          <w:p>
            <w:pPr>
              <w:pStyle w:val="Compact"/>
              <w:spacing w:after="20" w:before="0"/>
              <w:jc w:val="left"/>
            </w:pPr>
            <w:r>
              <w:rPr>
                <w:b/>
                <w:sz w:val="16"/>
              </w:rPr>
              <w:t xml:space="preserve">Entity</w:t>
            </w:r>
          </w:p>
        </w:tc>
        <w:tc>
          <w:tcPr>
            <w:tcW w:type="dxa" w:w="3600"/>
            <w:vAlign w:val="center"/>
          </w:tcPr>
          <w:p>
            <w:pPr>
              <w:pStyle w:val="Compact"/>
              <w:spacing w:after="20" w:before="0"/>
              <w:jc w:val="left"/>
            </w:pPr>
            <w:r>
              <w:rPr>
                <w:b/>
                <w:sz w:val="16"/>
              </w:rPr>
              <w:t xml:space="preserve">Essential fields</w:t>
            </w:r>
          </w:p>
        </w:tc>
        <w:tc>
          <w:tcPr>
            <w:tcW w:type="dxa" w:w="4493"/>
            <w:vAlign w:val="center"/>
          </w:tcPr>
          <w:p>
            <w:pPr>
              <w:pStyle w:val="Compact"/>
              <w:spacing w:after="20" w:before="0"/>
              <w:jc w:val="left"/>
            </w:pPr>
            <w:r>
              <w:rPr>
                <w:b/>
                <w:sz w:val="16"/>
              </w:rPr>
              <w:t xml:space="preserve">Behaviour</w:t>
            </w:r>
          </w:p>
        </w:tc>
      </w:tr>
      <w:tr>
        <w:tc>
          <w:tcPr>
            <w:tcW w:type="dxa" w:w="1440"/>
            <w:vAlign w:val="center"/>
          </w:tcPr>
          <w:p>
            <w:pPr>
              <w:pStyle w:val="Compact"/>
              <w:spacing w:after="20" w:before="0"/>
              <w:jc w:val="left"/>
            </w:pPr>
            <w:r>
              <w:rPr>
                <w:sz w:val="16"/>
              </w:rPr>
              <w:t xml:space="preserve">Source</w:t>
            </w:r>
          </w:p>
        </w:tc>
        <w:tc>
          <w:tcPr>
            <w:tcW w:type="dxa" w:w="3600"/>
            <w:vAlign w:val="center"/>
          </w:tcPr>
          <w:p>
            <w:pPr>
              <w:pStyle w:val="Compact"/>
              <w:spacing w:after="20" w:before="0"/>
              <w:jc w:val="left"/>
            </w:pPr>
            <w:r>
              <w:rPr>
                <w:sz w:val="16"/>
              </w:rPr>
              <w:t xml:space="preserve">id, type, name, adapter_id, config_ref, owner_scope, status, last_seen</w:t>
            </w:r>
          </w:p>
        </w:tc>
        <w:tc>
          <w:tcPr>
            <w:tcW w:type="dxa" w:w="4493"/>
            <w:vAlign w:val="center"/>
          </w:tcPr>
          <w:p>
            <w:pPr>
              <w:pStyle w:val="Compact"/>
              <w:spacing w:after="20" w:before="0"/>
              <w:jc w:val="left"/>
            </w:pPr>
            <w:r>
              <w:rPr>
                <w:sz w:val="16"/>
              </w:rPr>
              <w:t xml:space="preserve">Soft-disable and retain historical references.</w:t>
            </w:r>
          </w:p>
        </w:tc>
      </w:tr>
      <w:tr>
        <w:tc>
          <w:tcPr>
            <w:tcW w:type="dxa" w:w="1440"/>
            <w:vAlign w:val="center"/>
          </w:tcPr>
          <w:p>
            <w:pPr>
              <w:pStyle w:val="Compact"/>
              <w:spacing w:after="20" w:before="0"/>
              <w:jc w:val="left"/>
            </w:pPr>
            <w:r>
              <w:rPr>
                <w:sz w:val="16"/>
              </w:rPr>
              <w:t xml:space="preserve">Query</w:t>
            </w:r>
          </w:p>
        </w:tc>
        <w:tc>
          <w:tcPr>
            <w:tcW w:type="dxa" w:w="3600"/>
            <w:vAlign w:val="center"/>
          </w:tcPr>
          <w:p>
            <w:pPr>
              <w:pStyle w:val="Compact"/>
              <w:spacing w:after="20" w:before="0"/>
              <w:jc w:val="left"/>
            </w:pPr>
            <w:r>
              <w:rPr>
                <w:sz w:val="16"/>
              </w:rPr>
              <w:t xml:space="preserve">id, source_id, current_version_id, enabled</w:t>
            </w:r>
          </w:p>
        </w:tc>
        <w:tc>
          <w:tcPr>
            <w:tcW w:type="dxa" w:w="4493"/>
            <w:vAlign w:val="center"/>
          </w:tcPr>
          <w:p>
            <w:pPr>
              <w:pStyle w:val="Compact"/>
              <w:spacing w:after="20" w:before="0"/>
              <w:jc w:val="left"/>
            </w:pPr>
            <w:r>
              <w:rPr>
                <w:sz w:val="16"/>
              </w:rPr>
              <w:t xml:space="preserve">Logical question identity.</w:t>
            </w:r>
          </w:p>
        </w:tc>
      </w:tr>
      <w:tr>
        <w:tc>
          <w:tcPr>
            <w:tcW w:type="dxa" w:w="1440"/>
            <w:vAlign w:val="center"/>
          </w:tcPr>
          <w:p>
            <w:pPr>
              <w:pStyle w:val="Compact"/>
              <w:spacing w:after="20" w:before="0"/>
              <w:jc w:val="left"/>
            </w:pPr>
            <w:r>
              <w:rPr>
                <w:sz w:val="16"/>
              </w:rPr>
              <w:t xml:space="preserve">QueryVersion</w:t>
            </w:r>
          </w:p>
        </w:tc>
        <w:tc>
          <w:tcPr>
            <w:tcW w:type="dxa" w:w="3600"/>
            <w:vAlign w:val="center"/>
          </w:tcPr>
          <w:p>
            <w:pPr>
              <w:pStyle w:val="Compact"/>
              <w:spacing w:after="20" w:before="0"/>
              <w:jc w:val="left"/>
            </w:pPr>
            <w:r>
              <w:rPr>
                <w:sz w:val="16"/>
              </w:rPr>
              <w:t xml:space="preserve">id, query_id, text, type, criteria, ROI, schedule, policy, created_at</w:t>
            </w:r>
          </w:p>
        </w:tc>
        <w:tc>
          <w:tcPr>
            <w:tcW w:type="dxa" w:w="4493"/>
            <w:vAlign w:val="center"/>
          </w:tcPr>
          <w:p>
            <w:pPr>
              <w:pStyle w:val="Compact"/>
              <w:spacing w:after="20" w:before="0"/>
              <w:jc w:val="left"/>
            </w:pPr>
            <w:r>
              <w:rPr>
                <w:sz w:val="16"/>
              </w:rPr>
              <w:t xml:space="preserve">Immutable after activation.</w:t>
            </w:r>
          </w:p>
        </w:tc>
      </w:tr>
      <w:tr>
        <w:tc>
          <w:tcPr>
            <w:tcW w:type="dxa" w:w="1440"/>
            <w:vAlign w:val="center"/>
          </w:tcPr>
          <w:p>
            <w:pPr>
              <w:pStyle w:val="Compact"/>
              <w:spacing w:after="20" w:before="0"/>
              <w:jc w:val="left"/>
            </w:pPr>
            <w:r>
              <w:rPr>
                <w:sz w:val="16"/>
              </w:rPr>
              <w:t xml:space="preserve">Observation</w:t>
            </w:r>
          </w:p>
        </w:tc>
        <w:tc>
          <w:tcPr>
            <w:tcW w:type="dxa" w:w="3600"/>
            <w:vAlign w:val="center"/>
          </w:tcPr>
          <w:p>
            <w:pPr>
              <w:pStyle w:val="Compact"/>
              <w:spacing w:after="20" w:before="0"/>
              <w:jc w:val="left"/>
            </w:pPr>
            <w:r>
              <w:rPr>
                <w:sz w:val="16"/>
              </w:rPr>
              <w:t xml:space="preserve">id, source_id, version_id, captured_at_utc, processed_at_utc, status, result_json, model_ref, latency_ms</w:t>
            </w:r>
          </w:p>
        </w:tc>
        <w:tc>
          <w:tcPr>
            <w:tcW w:type="dxa" w:w="4493"/>
            <w:vAlign w:val="center"/>
          </w:tcPr>
          <w:p>
            <w:pPr>
              <w:pStyle w:val="Compact"/>
              <w:spacing w:after="20" w:before="0"/>
              <w:jc w:val="left"/>
            </w:pPr>
            <w:r>
              <w:rPr>
                <w:sz w:val="16"/>
              </w:rPr>
              <w:t xml:space="preserve">Append-only except documented retention deletion.</w:t>
            </w:r>
          </w:p>
        </w:tc>
      </w:tr>
      <w:tr>
        <w:tc>
          <w:tcPr>
            <w:tcW w:type="dxa" w:w="1440"/>
            <w:vAlign w:val="center"/>
          </w:tcPr>
          <w:p>
            <w:pPr>
              <w:pStyle w:val="Compact"/>
              <w:spacing w:after="20" w:before="0"/>
              <w:jc w:val="left"/>
            </w:pPr>
            <w:r>
              <w:rPr>
                <w:sz w:val="16"/>
              </w:rPr>
              <w:t xml:space="preserve">Episode</w:t>
            </w:r>
          </w:p>
        </w:tc>
        <w:tc>
          <w:tcPr>
            <w:tcW w:type="dxa" w:w="3600"/>
            <w:vAlign w:val="center"/>
          </w:tcPr>
          <w:p>
            <w:pPr>
              <w:pStyle w:val="Compact"/>
              <w:spacing w:after="20" w:before="0"/>
              <w:jc w:val="left"/>
            </w:pPr>
            <w:r>
              <w:rPr>
                <w:sz w:val="16"/>
              </w:rPr>
              <w:t xml:space="preserve">id, query_id, started_at, ended_at, start/end_observation_id, quality_flags</w:t>
            </w:r>
          </w:p>
        </w:tc>
        <w:tc>
          <w:tcPr>
            <w:tcW w:type="dxa" w:w="4493"/>
            <w:vAlign w:val="center"/>
          </w:tcPr>
          <w:p>
            <w:pPr>
              <w:pStyle w:val="Compact"/>
              <w:spacing w:after="20" w:before="0"/>
              <w:jc w:val="left"/>
            </w:pPr>
            <w:r>
              <w:rPr>
                <w:sz w:val="16"/>
              </w:rPr>
              <w:t xml:space="preserve">May remain open or unknown across gaps per policy.</w:t>
            </w:r>
          </w:p>
        </w:tc>
      </w:tr>
      <w:tr>
        <w:tc>
          <w:tcPr>
            <w:tcW w:type="dxa" w:w="1440"/>
            <w:vAlign w:val="center"/>
          </w:tcPr>
          <w:p>
            <w:pPr>
              <w:pStyle w:val="Compact"/>
              <w:spacing w:after="20" w:before="0"/>
              <w:jc w:val="left"/>
            </w:pPr>
            <w:r>
              <w:rPr>
                <w:sz w:val="16"/>
              </w:rPr>
              <w:t xml:space="preserve">MetricSample</w:t>
            </w:r>
          </w:p>
        </w:tc>
        <w:tc>
          <w:tcPr>
            <w:tcW w:type="dxa" w:w="3600"/>
            <w:vAlign w:val="center"/>
          </w:tcPr>
          <w:p>
            <w:pPr>
              <w:pStyle w:val="Compact"/>
              <w:spacing w:after="20" w:before="0"/>
              <w:jc w:val="left"/>
            </w:pPr>
            <w:r>
              <w:rPr>
                <w:sz w:val="16"/>
              </w:rPr>
              <w:t xml:space="preserve">id, query_id, type, bucket_start, value, unit, coverage, revision</w:t>
            </w:r>
          </w:p>
        </w:tc>
        <w:tc>
          <w:tcPr>
            <w:tcW w:type="dxa" w:w="4493"/>
            <w:vAlign w:val="center"/>
          </w:tcPr>
          <w:p>
            <w:pPr>
              <w:pStyle w:val="Compact"/>
              <w:spacing w:after="20" w:before="0"/>
              <w:jc w:val="left"/>
            </w:pPr>
            <w:r>
              <w:rPr>
                <w:sz w:val="16"/>
              </w:rPr>
              <w:t xml:space="preserve">Regenerable from observations.</w:t>
            </w:r>
          </w:p>
        </w:tc>
      </w:tr>
      <w:tr>
        <w:tc>
          <w:tcPr>
            <w:tcW w:type="dxa" w:w="1440"/>
            <w:vAlign w:val="center"/>
          </w:tcPr>
          <w:p>
            <w:pPr>
              <w:pStyle w:val="Compact"/>
              <w:spacing w:after="20" w:before="0"/>
              <w:jc w:val="left"/>
            </w:pPr>
            <w:r>
              <w:rPr>
                <w:sz w:val="16"/>
              </w:rPr>
              <w:t xml:space="preserve">Evidence</w:t>
            </w:r>
          </w:p>
        </w:tc>
        <w:tc>
          <w:tcPr>
            <w:tcW w:type="dxa" w:w="3600"/>
            <w:vAlign w:val="center"/>
          </w:tcPr>
          <w:p>
            <w:pPr>
              <w:pStyle w:val="Compact"/>
              <w:spacing w:after="20" w:before="0"/>
              <w:jc w:val="left"/>
            </w:pPr>
            <w:r>
              <w:rPr>
                <w:sz w:val="16"/>
              </w:rPr>
              <w:t xml:space="preserve">id, source_id, storage_ref, timestamp, hash, roi_transform, retention_class</w:t>
            </w:r>
          </w:p>
        </w:tc>
        <w:tc>
          <w:tcPr>
            <w:tcW w:type="dxa" w:w="4493"/>
            <w:vAlign w:val="center"/>
          </w:tcPr>
          <w:p>
            <w:pPr>
              <w:pStyle w:val="Compact"/>
              <w:spacing w:after="20" w:before="0"/>
              <w:jc w:val="left"/>
            </w:pPr>
            <w:r>
              <w:rPr>
                <w:sz w:val="16"/>
              </w:rPr>
              <w:t xml:space="preserve">Referenced by observations/events, protected separately.</w:t>
            </w:r>
          </w:p>
        </w:tc>
      </w:tr>
      <w:tr>
        <w:tc>
          <w:tcPr>
            <w:tcW w:type="dxa" w:w="1440"/>
            <w:vAlign w:val="center"/>
          </w:tcPr>
          <w:p>
            <w:pPr>
              <w:pStyle w:val="Compact"/>
              <w:spacing w:after="20" w:before="0"/>
              <w:jc w:val="left"/>
            </w:pPr>
            <w:r>
              <w:rPr>
                <w:sz w:val="16"/>
              </w:rPr>
              <w:t xml:space="preserve">Rule</w:t>
            </w:r>
          </w:p>
        </w:tc>
        <w:tc>
          <w:tcPr>
            <w:tcW w:type="dxa" w:w="3600"/>
            <w:vAlign w:val="center"/>
          </w:tcPr>
          <w:p>
            <w:pPr>
              <w:pStyle w:val="Compact"/>
              <w:spacing w:after="20" w:before="0"/>
              <w:jc w:val="left"/>
            </w:pPr>
            <w:r>
              <w:rPr>
                <w:sz w:val="16"/>
              </w:rPr>
              <w:t xml:space="preserve">id, scope, condition, cooldown, channel, version</w:t>
            </w:r>
          </w:p>
        </w:tc>
        <w:tc>
          <w:tcPr>
            <w:tcW w:type="dxa" w:w="4493"/>
            <w:vAlign w:val="center"/>
          </w:tcPr>
          <w:p>
            <w:pPr>
              <w:pStyle w:val="Compact"/>
              <w:spacing w:after="20" w:before="0"/>
              <w:jc w:val="left"/>
            </w:pPr>
            <w:r>
              <w:rPr>
                <w:sz w:val="16"/>
              </w:rPr>
              <w:t xml:space="preserve">Evaluates derived state and metric values.</w:t>
            </w:r>
          </w:p>
        </w:tc>
      </w:tr>
      <w:tr>
        <w:tc>
          <w:tcPr>
            <w:tcW w:type="dxa" w:w="1440"/>
            <w:vAlign w:val="center"/>
          </w:tcPr>
          <w:p>
            <w:pPr>
              <w:pStyle w:val="Compact"/>
              <w:spacing w:after="20" w:before="0"/>
              <w:jc w:val="left"/>
            </w:pPr>
            <w:r>
              <w:rPr>
                <w:sz w:val="16"/>
              </w:rPr>
              <w:t xml:space="preserve">Alert</w:t>
            </w:r>
          </w:p>
        </w:tc>
        <w:tc>
          <w:tcPr>
            <w:tcW w:type="dxa" w:w="3600"/>
            <w:vAlign w:val="center"/>
          </w:tcPr>
          <w:p>
            <w:pPr>
              <w:pStyle w:val="Compact"/>
              <w:spacing w:after="20" w:before="0"/>
              <w:jc w:val="left"/>
            </w:pPr>
            <w:r>
              <w:rPr>
                <w:sz w:val="16"/>
              </w:rPr>
              <w:t xml:space="preserve">id, rule_id, event_id, severity, created_at, status, delivery_key</w:t>
            </w:r>
          </w:p>
        </w:tc>
        <w:tc>
          <w:tcPr>
            <w:tcW w:type="dxa" w:w="4493"/>
            <w:vAlign w:val="center"/>
          </w:tcPr>
          <w:p>
            <w:pPr>
              <w:pStyle w:val="Compact"/>
              <w:spacing w:after="20" w:before="0"/>
              <w:jc w:val="left"/>
            </w:pPr>
            <w:r>
              <w:rPr>
                <w:sz w:val="16"/>
              </w:rPr>
              <w:t xml:space="preserve">Acknowledgements and delivery log attached.</w:t>
            </w:r>
          </w:p>
        </w:tc>
      </w:tr>
      <w:tr>
        <w:tc>
          <w:tcPr>
            <w:tcW w:type="dxa" w:w="1440"/>
            <w:vAlign w:val="center"/>
          </w:tcPr>
          <w:p>
            <w:pPr>
              <w:pStyle w:val="Compact"/>
              <w:spacing w:after="20" w:before="0"/>
              <w:jc w:val="left"/>
            </w:pPr>
            <w:r>
              <w:rPr>
                <w:sz w:val="16"/>
              </w:rPr>
              <w:t xml:space="preserve">User / Role</w:t>
            </w:r>
          </w:p>
        </w:tc>
        <w:tc>
          <w:tcPr>
            <w:tcW w:type="dxa" w:w="3600"/>
            <w:vAlign w:val="center"/>
          </w:tcPr>
          <w:p>
            <w:pPr>
              <w:pStyle w:val="Compact"/>
              <w:spacing w:after="20" w:before="0"/>
              <w:jc w:val="left"/>
            </w:pPr>
            <w:r>
              <w:rPr>
                <w:sz w:val="16"/>
              </w:rPr>
              <w:t xml:space="preserve">id, identity_ref, role assignments, scope</w:t>
            </w:r>
          </w:p>
        </w:tc>
        <w:tc>
          <w:tcPr>
            <w:tcW w:type="dxa" w:w="4493"/>
            <w:vAlign w:val="center"/>
          </w:tcPr>
          <w:p>
            <w:pPr>
              <w:pStyle w:val="Compact"/>
              <w:spacing w:after="20" w:before="0"/>
              <w:jc w:val="left"/>
            </w:pPr>
            <w:r>
              <w:rPr>
                <w:sz w:val="16"/>
              </w:rPr>
              <w:t xml:space="preserve">Access checks performed server side.</w:t>
            </w:r>
          </w:p>
        </w:tc>
      </w:tr>
      <w:tr>
        <w:tc>
          <w:tcPr>
            <w:tcW w:type="dxa" w:w="1440"/>
            <w:vAlign w:val="center"/>
          </w:tcPr>
          <w:p>
            <w:pPr>
              <w:pStyle w:val="Compact"/>
              <w:spacing w:after="20" w:before="0"/>
              <w:jc w:val="left"/>
            </w:pPr>
            <w:r>
              <w:rPr>
                <w:sz w:val="16"/>
              </w:rPr>
              <w:t xml:space="preserve">AuditEntry</w:t>
            </w:r>
          </w:p>
        </w:tc>
        <w:tc>
          <w:tcPr>
            <w:tcW w:type="dxa" w:w="3600"/>
            <w:vAlign w:val="center"/>
          </w:tcPr>
          <w:p>
            <w:pPr>
              <w:pStyle w:val="Compact"/>
              <w:spacing w:after="20" w:before="0"/>
              <w:jc w:val="left"/>
            </w:pPr>
            <w:r>
              <w:rPr>
                <w:sz w:val="16"/>
              </w:rPr>
              <w:t xml:space="preserve">id, actor, action, target, timestamp, status, changed_field_names</w:t>
            </w:r>
          </w:p>
        </w:tc>
        <w:tc>
          <w:tcPr>
            <w:tcW w:type="dxa" w:w="4493"/>
            <w:vAlign w:val="center"/>
          </w:tcPr>
          <w:p>
            <w:pPr>
              <w:pStyle w:val="Compact"/>
              <w:spacing w:after="20" w:before="0"/>
              <w:jc w:val="left"/>
            </w:pPr>
            <w:r>
              <w:rPr>
                <w:sz w:val="16"/>
              </w:rPr>
              <w:t xml:space="preserve">Immutable operations log; no secrets.</w:t>
            </w:r>
          </w:p>
        </w:tc>
      </w:tr>
    </w:tbl>
    <w:bookmarkEnd w:id="56"/>
    <w:bookmarkStart w:id="57" w:name="minimum-record-example"/>
    <w:p>
      <w:pPr>
        <w:pStyle w:val="Heading3"/>
      </w:pPr>
      <w:r>
        <w:t xml:space="preserve">7.2 Minimum record example</w:t>
      </w:r>
    </w:p>
    <w:p>
      <w:pPr>
        <w:pStyle w:val="SourceCode"/>
      </w:pPr>
      <w:r>
        <w:rPr>
          <w:rStyle w:val="FunctionTok"/>
        </w:rPr>
        <w:t xml:space="preserve">{</w:t>
      </w:r>
      <w:r>
        <w:br/>
      </w:r>
      <w:r>
        <w:rPr>
          <w:rStyle w:val="NormalTok"/>
        </w:rPr>
        <w:t xml:space="preserve">  </w:t>
      </w:r>
      <w:r>
        <w:rPr>
          <w:rStyle w:val="DataTypeTok"/>
        </w:rPr>
        <w:t xml:space="preserve">"observation_id"</w:t>
      </w:r>
      <w:r>
        <w:rPr>
          <w:rStyle w:val="FunctionTok"/>
        </w:rPr>
        <w:t xml:space="preserve">:</w:t>
      </w:r>
      <w:r>
        <w:rPr>
          <w:rStyle w:val="NormalTok"/>
        </w:rPr>
        <w:t xml:space="preserve"> </w:t>
      </w:r>
      <w:r>
        <w:rPr>
          <w:rStyle w:val="StringTok"/>
        </w:rPr>
        <w:t xml:space="preserve">"obs_01JTEST"</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"server_room_cam_01"</w:t>
      </w:r>
      <w:r>
        <w:rPr>
          <w:rStyle w:val="FunctionTok"/>
        </w:rPr>
        <w:t xml:space="preserve">,</w:t>
      </w:r>
      <w:r>
        <w:br/>
      </w:r>
      <w:r>
        <w:rPr>
          <w:rStyle w:val="NormalTok"/>
        </w:rPr>
        <w:t xml:space="preserve">  </w:t>
      </w:r>
      <w:r>
        <w:rPr>
          <w:rStyle w:val="DataTypeTok"/>
        </w:rPr>
        <w:t xml:space="preserve">"query_version_id"</w:t>
      </w:r>
      <w:r>
        <w:rPr>
          <w:rStyle w:val="FunctionTok"/>
        </w:rPr>
        <w:t xml:space="preserve">:</w:t>
      </w:r>
      <w:r>
        <w:rPr>
          <w:rStyle w:val="NormalTok"/>
        </w:rPr>
        <w:t xml:space="preserve"> </w:t>
      </w:r>
      <w:r>
        <w:rPr>
          <w:rStyle w:val="StringTok"/>
        </w:rPr>
        <w:t xml:space="preserve">"qv_0007"</w:t>
      </w:r>
      <w:r>
        <w:rPr>
          <w:rStyle w:val="FunctionTok"/>
        </w:rPr>
        <w:t xml:space="preserve">,</w:t>
      </w:r>
      <w:r>
        <w:br/>
      </w:r>
      <w:r>
        <w:rPr>
          <w:rStyle w:val="NormalTok"/>
        </w:rPr>
        <w:t xml:space="preserve">  </w:t>
      </w:r>
      <w:r>
        <w:rPr>
          <w:rStyle w:val="DataTypeTok"/>
        </w:rPr>
        <w:t xml:space="preserve">"captured_at_utc"</w:t>
      </w:r>
      <w:r>
        <w:rPr>
          <w:rStyle w:val="FunctionTok"/>
        </w:rPr>
        <w:t xml:space="preserve">:</w:t>
      </w:r>
      <w:r>
        <w:rPr>
          <w:rStyle w:val="NormalTok"/>
        </w:rPr>
        <w:t xml:space="preserve"> </w:t>
      </w:r>
      <w:r>
        <w:rPr>
          <w:rStyle w:val="StringTok"/>
        </w:rPr>
        <w:t xml:space="preserve">"2026-10-13T08:00:00Z"</w:t>
      </w:r>
      <w:r>
        <w:rPr>
          <w:rStyle w:val="FunctionTok"/>
        </w:rPr>
        <w:t xml:space="preserve">,</w:t>
      </w:r>
      <w:r>
        <w:br/>
      </w:r>
      <w:r>
        <w:rPr>
          <w:rStyle w:val="NormalTok"/>
        </w:rPr>
        <w:t xml:space="preserve">  </w:t>
      </w:r>
      <w:r>
        <w:rPr>
          <w:rStyle w:val="DataTypeTok"/>
        </w:rPr>
        <w:t xml:space="preserve">"processed_at_utc"</w:t>
      </w:r>
      <w:r>
        <w:rPr>
          <w:rStyle w:val="FunctionTok"/>
        </w:rPr>
        <w:t xml:space="preserve">:</w:t>
      </w:r>
      <w:r>
        <w:rPr>
          <w:rStyle w:val="NormalTok"/>
        </w:rPr>
        <w:t xml:space="preserve"> </w:t>
      </w:r>
      <w:r>
        <w:rPr>
          <w:rStyle w:val="StringTok"/>
        </w:rPr>
        <w:t xml:space="preserve">"2026-10-13T08:00:02Z"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"binary"</w:t>
      </w:r>
      <w:r>
        <w:rPr>
          <w:rStyle w:val="FunctionTok"/>
        </w:rPr>
        <w:t xml:space="preserve">,</w:t>
      </w:r>
      <w:r>
        <w:br/>
      </w:r>
      <w:r>
        <w:rPr>
          <w:rStyle w:val="NormalTok"/>
        </w:rPr>
        <w:t xml:space="preserve">    </w:t>
      </w:r>
      <w:r>
        <w:rPr>
          <w:rStyle w:val="DataTypeTok"/>
        </w:rPr>
        <w:t xml:space="preserve">"normalised_state"</w:t>
      </w:r>
      <w:r>
        <w:rPr>
          <w:rStyle w:val="FunctionTok"/>
        </w:rPr>
        <w:t xml:space="preserve">:</w:t>
      </w:r>
      <w:r>
        <w:rPr>
          <w:rStyle w:val="NormalTok"/>
        </w:rPr>
        <w:t xml:space="preserve"> </w:t>
      </w:r>
      <w:r>
        <w:rPr>
          <w:rStyle w:val="StringTok"/>
        </w:rPr>
        <w:t xml:space="preserve">"positive"</w:t>
      </w:r>
      <w:r>
        <w:rPr>
          <w:rStyle w:val="FunctionTok"/>
        </w:rPr>
        <w:t xml:space="preserve">,</w:t>
      </w:r>
      <w:r>
        <w:br/>
      </w:r>
      <w:r>
        <w:rPr>
          <w:rStyle w:val="NormalTok"/>
        </w:rPr>
        <w:t xml:space="preserve">    </w:t>
      </w:r>
      <w:r>
        <w:rPr>
          <w:rStyle w:val="DataTypeTok"/>
        </w:rPr>
        <w:t xml:space="preserve">"raw_provider_fields"</w:t>
      </w:r>
      <w:r>
        <w:rPr>
          <w:rStyle w:val="FunctionTok"/>
        </w:rPr>
        <w:t xml:space="preserve">:</w:t>
      </w:r>
      <w:r>
        <w:rPr>
          <w:rStyle w:val="NormalTok"/>
        </w:rPr>
        <w:t xml:space="preserve"> </w:t>
      </w:r>
      <w:r>
        <w:rPr>
          <w:rStyle w:val="FunctionTok"/>
        </w:rPr>
        <w:t xml:space="preserve">{</w:t>
      </w:r>
      <w:r>
        <w:rPr>
          <w:rStyle w:val="DataTypeTok"/>
        </w:rPr>
        <w:t xml:space="preserve">"noul"</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"threshold_used"</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85</w:t>
      </w:r>
      <w:r>
        <w:rPr>
          <w:rStyle w:val="FunctionTok"/>
        </w:rPr>
        <w:t xml:space="preserve">,</w:t>
      </w:r>
      <w:r>
        <w:br/>
      </w:r>
      <w:r>
        <w:rPr>
          <w:rStyle w:val="NormalTok"/>
        </w:rPr>
        <w:t xml:space="preserve">    </w:t>
      </w:r>
      <w:r>
        <w:rPr>
          <w:rStyle w:val="DataTypeTok"/>
        </w:rPr>
        <w:t xml:space="preserve">"calibrated"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"engine_id"</w:t>
      </w:r>
      <w:r>
        <w:rPr>
          <w:rStyle w:val="FunctionTok"/>
        </w:rPr>
        <w:t xml:space="preserve">:</w:t>
      </w:r>
      <w:r>
        <w:rPr>
          <w:rStyle w:val="NormalTok"/>
        </w:rPr>
        <w:t xml:space="preserve"> </w:t>
      </w:r>
      <w:r>
        <w:rPr>
          <w:rStyle w:val="StringTok"/>
        </w:rPr>
        <w:t xml:space="preserve">"liquid-d1-3b"</w:t>
      </w:r>
      <w:r>
        <w:rPr>
          <w:rStyle w:val="FunctionTok"/>
        </w:rPr>
        <w:t xml:space="preserve">,</w:t>
      </w:r>
      <w:r>
        <w:br/>
      </w:r>
      <w:r>
        <w:rPr>
          <w:rStyle w:val="NormalTok"/>
        </w:rPr>
        <w:t xml:space="preserve">    </w:t>
      </w:r>
      <w:r>
        <w:rPr>
          <w:rStyle w:val="DataTypeTok"/>
        </w:rPr>
        <w:t xml:space="preserve">"engine_version"</w:t>
      </w:r>
      <w:r>
        <w:rPr>
          <w:rStyle w:val="FunctionTok"/>
        </w:rPr>
        <w:t xml:space="preserve">:</w:t>
      </w:r>
      <w:r>
        <w:rPr>
          <w:rStyle w:val="NormalTok"/>
        </w:rPr>
        <w:t xml:space="preserve"> </w:t>
      </w:r>
      <w:r>
        <w:rPr>
          <w:rStyle w:val="StringTok"/>
        </w:rPr>
        <w:t xml:space="preserve">"pinned-checkpoint-revision"</w:t>
      </w:r>
      <w:r>
        <w:rPr>
          <w:rStyle w:val="FunctionTok"/>
        </w:rPr>
        <w:t xml:space="preserve">,</w:t>
      </w:r>
      <w:r>
        <w:br/>
      </w:r>
      <w:r>
        <w:rPr>
          <w:rStyle w:val="NormalTok"/>
        </w:rPr>
        <w:t xml:space="preserve">    </w:t>
      </w:r>
      <w:r>
        <w:rPr>
          <w:rStyle w:val="DataTypeTok"/>
        </w:rPr>
        <w:t xml:space="preserve">"roi_id"</w:t>
      </w:r>
      <w:r>
        <w:rPr>
          <w:rStyle w:val="FunctionTok"/>
        </w:rPr>
        <w:t xml:space="preserve">:</w:t>
      </w:r>
      <w:r>
        <w:rPr>
          <w:rStyle w:val="NormalTok"/>
        </w:rPr>
        <w:t xml:space="preserve"> </w:t>
      </w:r>
      <w:r>
        <w:rPr>
          <w:rStyle w:val="StringTok"/>
        </w:rPr>
        <w:t xml:space="preserve">"under_rack_a"</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"img_0198"</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example is schematic and uses fictional scores. A normalised binary decision is not a claim that the provider value is well calibrated.</w:t>
      </w:r>
    </w:p>
    <w:bookmarkEnd w:id="57"/>
    <w:bookmarkStart w:id="58" w:name="retention-policy"/>
    <w:p>
      <w:pPr>
        <w:pStyle w:val="Heading3"/>
      </w:pPr>
      <w:r>
        <w:t xml:space="preserve">7.3 Retention policy</w:t>
      </w:r>
    </w:p>
    <w:p>
      <w:pPr>
        <w:pStyle w:val="FirstParagraph"/>
      </w:pPr>
      <w:r>
        <w:t xml:space="preserve">Keep raw images only for configured evidence cases or explicitly enabled sampling. Do not default to storing all video. Define independent retention windows for evidence, detailed observations, aggregated metrics, audit logs and backups. State which information remains when source/query records are disabled or deleted. Exports must not leak credentials or data outside the requesting user’s access scope.</w:t>
      </w:r>
    </w:p>
    <w:bookmarkEnd w:id="58"/>
    <w:bookmarkEnd w:id="59"/>
    <w:bookmarkStart w:id="67" w:name="decision-and-measurement-semantics"/>
    <w:p>
      <w:pPr>
        <w:pStyle w:val="Heading2"/>
      </w:pPr>
      <w:r>
        <w:t xml:space="preserve">8. Decision and measurement semantics</w:t>
      </w:r>
    </w:p>
    <w:p>
      <w:pPr>
        <w:pStyle w:val="CaptionedFigure"/>
      </w:pPr>
      <w:r>
        <w:drawing>
          <wp:inline>
            <wp:extent cx="5334000" cy="1839372"/>
            <wp:effectExtent b="0" l="0" r="0" t="0"/>
            <wp:docPr descr="Example temporal state machine for a binary observation" title="" id="61" name="Picture"/>
            <a:graphic>
              <a:graphicData uri="http://schemas.openxmlformats.org/drawingml/2006/picture">
                <pic:pic>
                  <pic:nvPicPr>
                    <pic:cNvPr descr="assets/state-machine.png" id="62" name="Picture"/>
                    <pic:cNvPicPr>
                      <a:picLocks noChangeArrowheads="1" noChangeAspect="1"/>
                    </pic:cNvPicPr>
                  </pic:nvPicPr>
                  <pic:blipFill>
                    <a:blip r:embed="rId60"/>
                    <a:stretch>
                      <a:fillRect/>
                    </a:stretch>
                  </pic:blipFill>
                  <pic:spPr bwMode="auto">
                    <a:xfrm>
                      <a:off x="0" y="0"/>
                      <a:ext cx="5334000" cy="1839372"/>
                    </a:xfrm>
                    <a:prstGeom prst="rect">
                      <a:avLst/>
                    </a:prstGeom>
                    <a:noFill/>
                    <a:ln w="9525">
                      <a:noFill/>
                      <a:headEnd/>
                      <a:tailEnd/>
                    </a:ln>
                  </pic:spPr>
                </pic:pic>
              </a:graphicData>
            </a:graphic>
          </wp:inline>
        </w:drawing>
      </w:r>
    </w:p>
    <w:p>
      <w:pPr>
        <w:pStyle w:val="ImageCaption"/>
      </w:pPr>
      <w:r>
        <w:t xml:space="preserve">Example temporal state machine for a binary observation</w:t>
      </w:r>
    </w:p>
    <w:bookmarkStart w:id="63" w:name="normalisation"/>
    <w:p>
      <w:pPr>
        <w:pStyle w:val="Heading3"/>
      </w:pPr>
      <w:r>
        <w:t xml:space="preserve">8.1 Normalisation</w:t>
      </w:r>
    </w:p>
    <w:p>
      <w:pPr>
        <w:pStyle w:val="FirstParagraph"/>
      </w:pPr>
      <w:r>
        <w:t xml:space="preserve">An inference adapter returns a typed provider answer. A query evaluation policy maps that answer to POSITIVE, NEGATIVE or UNCERTAIN. Failed evaluations and missing frames produce ERROR or UNKNOWN, never NEGATIVE. Provider confidence values and threshold comparison shall remain inspectable.</w:t>
      </w:r>
    </w:p>
    <w:bookmarkEnd w:id="63"/>
    <w:bookmarkStart w:id="64" w:name="episode-logic"/>
    <w:p>
      <w:pPr>
        <w:pStyle w:val="Heading3"/>
      </w:pPr>
      <w:r>
        <w:t xml:space="preserve">8.2 Episode logic</w:t>
      </w:r>
    </w:p>
    <w:p>
      <w:pPr>
        <w:pStyle w:val="Compact"/>
        <w:numPr>
          <w:ilvl w:val="0"/>
          <w:numId w:val="1007"/>
        </w:numPr>
      </w:pPr>
      <w:r>
        <w:t xml:space="preserve">A candidate positive observation enters PENDING. The configured number/time of positive confirmations enters ACTIVE and starts an episode.</w:t>
      </w:r>
    </w:p>
    <w:p>
      <w:pPr>
        <w:pStyle w:val="Compact"/>
        <w:numPr>
          <w:ilvl w:val="0"/>
          <w:numId w:val="1007"/>
        </w:numPr>
      </w:pPr>
      <w:r>
        <w:t xml:space="preserve">A candidate negative observation enters RECOVERING. Confirmed negatives close the episode. A subsequent positive may cancel recovery.</w:t>
      </w:r>
    </w:p>
    <w:p>
      <w:pPr>
        <w:pStyle w:val="Compact"/>
        <w:numPr>
          <w:ilvl w:val="0"/>
          <w:numId w:val="1007"/>
        </w:numPr>
      </w:pPr>
      <w:r>
        <w:t xml:space="preserve">If data becomes stale, the state becomes UNKNOWN. The interval is recorded as unobserved. On reconnection, the system applies the configured</w:t>
      </w:r>
      <w:r>
        <w:t xml:space="preserve"> </w:t>
      </w:r>
      <w:r>
        <w:rPr>
          <w:b/>
          <w:bCs/>
        </w:rPr>
        <w:t xml:space="preserve">resume</w:t>
      </w:r>
      <w:r>
        <w:t xml:space="preserve">,</w:t>
      </w:r>
      <w:r>
        <w:t xml:space="preserve"> </w:t>
      </w:r>
      <w:r>
        <w:rPr>
          <w:b/>
          <w:bCs/>
        </w:rPr>
        <w:t xml:space="preserve">split</w:t>
      </w:r>
      <w:r>
        <w:t xml:space="preserve"> </w:t>
      </w:r>
      <w:r>
        <w:t xml:space="preserve">or</w:t>
      </w:r>
      <w:r>
        <w:t xml:space="preserve"> </w:t>
      </w:r>
      <w:r>
        <w:rPr>
          <w:b/>
          <w:bCs/>
        </w:rPr>
        <w:t xml:space="preserve">manual-review</w:t>
      </w:r>
      <w:r>
        <w:t xml:space="preserve"> </w:t>
      </w:r>
      <w:r>
        <w:t xml:space="preserve">episode policy.</w:t>
      </w:r>
    </w:p>
    <w:p>
      <w:pPr>
        <w:pStyle w:val="Compact"/>
        <w:numPr>
          <w:ilvl w:val="0"/>
          <w:numId w:val="1007"/>
        </w:numPr>
      </w:pPr>
      <w:r>
        <w:t xml:space="preserve">Duration is reported as estimated between confirmed transitions, including a quality indicator and unobserved gaps; it is</w:t>
      </w:r>
      <w:r>
        <w:t xml:space="preserve"> </w:t>
      </w:r>
      <w:r>
        <w:rPr>
          <w:b/>
          <w:bCs/>
        </w:rPr>
        <w:t xml:space="preserve">not</w:t>
      </w:r>
      <w:r>
        <w:t xml:space="preserve"> </w:t>
      </w:r>
      <w:r>
        <w:t xml:space="preserve">exact continuous visual truth.</w:t>
      </w:r>
    </w:p>
    <w:p>
      <w:pPr>
        <w:pStyle w:val="Compact"/>
        <w:numPr>
          <w:ilvl w:val="0"/>
          <w:numId w:val="1007"/>
        </w:numPr>
      </w:pPr>
      <w:r>
        <w:t xml:space="preserve">Counts distinguish episode starts from frame counts. Frequency means episodes per unit of time, not positive samples per unit of time.</w:t>
      </w:r>
    </w:p>
    <w:bookmarkEnd w:id="64"/>
    <w:bookmarkStart w:id="65" w:name="numeric-and-continuous-measurements"/>
    <w:p>
      <w:pPr>
        <w:pStyle w:val="Heading3"/>
      </w:pPr>
      <w:r>
        <w:t xml:space="preserve">8.3 Numeric and continuous measurements</w:t>
      </w:r>
    </w:p>
    <w:p>
      <w:pPr>
        <w:pStyle w:val="FirstParagraph"/>
      </w:pPr>
      <w:r>
        <w:t xml:space="preserve">The initial d1-3B contract supports yes/no, named categories and ordered ratings; it does</w:t>
      </w:r>
      <w:r>
        <w:t xml:space="preserve"> </w:t>
      </w:r>
      <w:r>
        <w:rPr>
          <w:b/>
          <w:bCs/>
        </w:rPr>
        <w:t xml:space="preserve">not</w:t>
      </w:r>
      <w:r>
        <w:t xml:space="preserve"> </w:t>
      </w:r>
      <w:r>
        <w:t xml:space="preserve">promise arbitrary physical numerical measurement. Its binary</w:t>
      </w:r>
      <w:r>
        <w:t xml:space="preserve"> </w:t>
      </w:r>
      <w:r>
        <w:rPr>
          <w:rStyle w:val="VerbatimChar"/>
        </w:rPr>
        <w:t xml:space="preserve">noul</w:t>
      </w:r>
      <w:r>
        <w:t xml:space="preserve"> </w:t>
      </w:r>
      <w:r>
        <w:t xml:space="preserve">field is a model score for yes;</w:t>
      </w:r>
      <w:r>
        <w:t xml:space="preserve"> </w:t>
      </w:r>
      <w:r>
        <w:rPr>
          <w:rStyle w:val="VerbatimChar"/>
        </w:rPr>
        <w:t xml:space="preserve">choice</w:t>
      </w:r>
      <w:r>
        <w:t xml:space="preserve"> </w:t>
      </w:r>
      <w:r>
        <w:t xml:space="preserve">returns a named option and related fields;</w:t>
      </w:r>
      <w:r>
        <w:t xml:space="preserve"> </w:t>
      </w:r>
      <w:r>
        <w:rPr>
          <w:rStyle w:val="VerbatimChar"/>
        </w:rPr>
        <w:t xml:space="preserve">score</w:t>
      </w:r>
      <w:r>
        <w:t xml:space="preserve"> </w:t>
      </w:r>
      <w:r>
        <w:t xml:space="preserve">returns an expected ordered level (not a calibrated physical value). Provider fields must be preserved for inspection. Domain-specific thresholds require empirical evaluation.</w:t>
      </w:r>
      <w:r>
        <w:t xml:space="preserve"> </w:t>
      </w:r>
      <w:r>
        <w:t xml:space="preserve">“</w:t>
      </w:r>
      <w:r>
        <w:t xml:space="preserve">Three or more animals</w:t>
      </w:r>
      <w:r>
        <w:t xml:space="preserve">”</w:t>
      </w:r>
      <w:r>
        <w:t xml:space="preserve"> </w:t>
      </w:r>
      <w:r>
        <w:t xml:space="preserve">can be a choice category, not an exact tracked count. Future counter, tracker and OCR plugins may return exact or bounded numeric values with explicit units, confidence and precision. The measurement engine accepts such typed values without requiring a schema redesign.</w:t>
      </w:r>
    </w:p>
    <w:bookmarkEnd w:id="65"/>
    <w:bookmarkStart w:id="66" w:name="late-duplicated-and-out-of-order-frames"/>
    <w:p>
      <w:pPr>
        <w:pStyle w:val="Heading3"/>
      </w:pPr>
      <w:r>
        <w:t xml:space="preserve">8.4 Late, duplicated and out-of-order frames</w:t>
      </w:r>
    </w:p>
    <w:p>
      <w:pPr>
        <w:pStyle w:val="FirstParagraph"/>
      </w:pPr>
      <w:r>
        <w:t xml:space="preserve">Each source emits monotonic sequence numbers when possible. Ingestion shall deduplicate</w:t>
      </w:r>
      <w:r>
        <w:t xml:space="preserve"> </w:t>
      </w:r>
      <w:r>
        <w:rPr>
          <w:rStyle w:val="VerbatimChar"/>
        </w:rPr>
        <w:t xml:space="preserve">(source_id, frame_id)</w:t>
      </w:r>
      <w:r>
        <w:t xml:space="preserve">. Processing shall preserve capture timestamp separately from completion timestamp. Frames arriving beyond a configurable lateness window will be retained for audit but will not silently rewrite already issued alerts. Explicit recomputation is versioned.</w:t>
      </w:r>
    </w:p>
    <w:bookmarkEnd w:id="66"/>
    <w:bookmarkEnd w:id="67"/>
    <w:bookmarkStart w:id="74" w:name="Xfcc5c1899f0566fd61e068ec8ed11735bb46d30"/>
    <w:p>
      <w:pPr>
        <w:pStyle w:val="Heading2"/>
      </w:pPr>
      <w:r>
        <w:t xml:space="preserve">9. Plugin interfaces and compatibility contracts</w:t>
      </w:r>
    </w:p>
    <w:p>
      <w:pPr>
        <w:pStyle w:val="FirstParagraph"/>
      </w:pPr>
      <w:r>
        <w:t xml:space="preserve">All plugins declare a manifest with</w:t>
      </w:r>
      <w:r>
        <w:t xml:space="preserve"> </w:t>
      </w:r>
      <w:r>
        <w:rPr>
          <w:rStyle w:val="VerbatimChar"/>
        </w:rPr>
        <w:t xml:space="preserve">plugin_id</w:t>
      </w:r>
      <w:r>
        <w:t xml:space="preserve">,</w:t>
      </w:r>
      <w:r>
        <w:t xml:space="preserve"> </w:t>
      </w:r>
      <w:r>
        <w:rPr>
          <w:rStyle w:val="VerbatimChar"/>
        </w:rPr>
        <w:t xml:space="preserve">version</w:t>
      </w:r>
      <w:r>
        <w:t xml:space="preserve">,</w:t>
      </w:r>
      <w:r>
        <w:t xml:space="preserve"> </w:t>
      </w:r>
      <w:r>
        <w:rPr>
          <w:rStyle w:val="VerbatimChar"/>
        </w:rPr>
        <w:t xml:space="preserve">api_version</w:t>
      </w:r>
      <w:r>
        <w:t xml:space="preserve">,</w:t>
      </w:r>
      <w:r>
        <w:t xml:space="preserve"> </w:t>
      </w:r>
      <w:r>
        <w:rPr>
          <w:rStyle w:val="VerbatimChar"/>
        </w:rPr>
        <w:t xml:space="preserve">plugin_type</w:t>
      </w:r>
      <w:r>
        <w:t xml:space="preserve">,</w:t>
      </w:r>
      <w:r>
        <w:t xml:space="preserve"> </w:t>
      </w:r>
      <w:r>
        <w:rPr>
          <w:rStyle w:val="VerbatimChar"/>
        </w:rPr>
        <w:t xml:space="preserve">capabilities</w:t>
      </w:r>
      <w:r>
        <w:t xml:space="preserve">, resource requirements and configuration schema. Core APIs use typed request/response messages (JSON Schema / Python protocols); references to large image buffers may be local handles or controlled binary streams rather than embedded Base64 in every event.</w:t>
      </w:r>
    </w:p>
    <w:bookmarkStart w:id="68" w:name="input-adapter-interface"/>
    <w:p>
      <w:pPr>
        <w:pStyle w:val="Heading3"/>
      </w:pPr>
      <w:r>
        <w:t xml:space="preserve">9.1 Input adapter interface</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728"/>
        <w:gridCol w:w="2520"/>
        <w:gridCol w:w="5285"/>
      </w:tblGrid>
      <w:tr>
        <w:trPr>
          <w:tblHeader w:val="on"/>
          <w:tblHeader w:val="true"/>
        </w:trPr>
        <w:tc>
          <w:tcPr>
            <w:tcW w:type="dxa" w:w="1728"/>
            <w:vAlign w:val="center"/>
          </w:tcPr>
          <w:p>
            <w:pPr>
              <w:pStyle w:val="Compact"/>
              <w:spacing w:after="20" w:before="0"/>
              <w:jc w:val="left"/>
            </w:pPr>
            <w:r>
              <w:rPr>
                <w:b/>
                <w:sz w:val="16"/>
              </w:rPr>
              <w:t xml:space="preserve">Operation</w:t>
            </w:r>
          </w:p>
        </w:tc>
        <w:tc>
          <w:tcPr>
            <w:tcW w:type="dxa" w:w="2520"/>
            <w:vAlign w:val="center"/>
          </w:tcPr>
          <w:p>
            <w:pPr>
              <w:pStyle w:val="Compact"/>
              <w:spacing w:after="20" w:before="0"/>
              <w:jc w:val="left"/>
            </w:pPr>
            <w:r>
              <w:rPr>
                <w:b/>
                <w:sz w:val="16"/>
              </w:rPr>
              <w:t xml:space="preserve">Input</w:t>
            </w:r>
          </w:p>
        </w:tc>
        <w:tc>
          <w:tcPr>
            <w:tcW w:type="dxa" w:w="5285"/>
            <w:vAlign w:val="center"/>
          </w:tcPr>
          <w:p>
            <w:pPr>
              <w:pStyle w:val="Compact"/>
              <w:spacing w:after="20" w:before="0"/>
              <w:jc w:val="left"/>
            </w:pPr>
            <w:r>
              <w:rPr>
                <w:b/>
                <w:sz w:val="16"/>
              </w:rPr>
              <w:t xml:space="preserve">Output / contract</w:t>
            </w:r>
          </w:p>
        </w:tc>
      </w:tr>
      <w:tr>
        <w:tc>
          <w:tcPr>
            <w:tcW w:type="dxa" w:w="1728"/>
            <w:vAlign w:val="center"/>
          </w:tcPr>
          <w:p>
            <w:pPr>
              <w:pStyle w:val="Compact"/>
              <w:spacing w:after="20" w:before="0"/>
              <w:jc w:val="left"/>
            </w:pPr>
            <w:r>
              <w:rPr>
                <w:rStyle w:val="VerbatimChar"/>
                <w:sz w:val="16"/>
              </w:rPr>
              <w:t xml:space="preserve">validate(config)</w:t>
            </w:r>
          </w:p>
        </w:tc>
        <w:tc>
          <w:tcPr>
            <w:tcW w:type="dxa" w:w="2520"/>
            <w:vAlign w:val="center"/>
          </w:tcPr>
          <w:p>
            <w:pPr>
              <w:pStyle w:val="Compact"/>
              <w:spacing w:after="20" w:before="0"/>
              <w:jc w:val="left"/>
            </w:pPr>
            <w:r>
              <w:rPr>
                <w:sz w:val="16"/>
              </w:rPr>
              <w:t xml:space="preserve">Non-secret config + protected credential reference</w:t>
            </w:r>
          </w:p>
        </w:tc>
        <w:tc>
          <w:tcPr>
            <w:tcW w:type="dxa" w:w="5285"/>
            <w:vAlign w:val="center"/>
          </w:tcPr>
          <w:p>
            <w:pPr>
              <w:pStyle w:val="Compact"/>
              <w:spacing w:after="20" w:before="0"/>
              <w:jc w:val="left"/>
            </w:pPr>
            <w:r>
              <w:rPr>
                <w:sz w:val="16"/>
              </w:rPr>
              <w:t xml:space="preserve">Valid/invalid, human-readable reason, detected capabilities.</w:t>
            </w:r>
          </w:p>
        </w:tc>
      </w:tr>
      <w:tr>
        <w:tc>
          <w:tcPr>
            <w:tcW w:type="dxa" w:w="1728"/>
            <w:vAlign w:val="center"/>
          </w:tcPr>
          <w:p>
            <w:pPr>
              <w:pStyle w:val="Compact"/>
              <w:spacing w:after="20" w:before="0"/>
              <w:jc w:val="left"/>
            </w:pPr>
            <w:r>
              <w:rPr>
                <w:rStyle w:val="VerbatimChar"/>
                <w:sz w:val="16"/>
              </w:rPr>
              <w:t xml:space="preserve">probe(config)</w:t>
            </w:r>
          </w:p>
        </w:tc>
        <w:tc>
          <w:tcPr>
            <w:tcW w:type="dxa" w:w="2520"/>
            <w:vAlign w:val="center"/>
          </w:tcPr>
          <w:p>
            <w:pPr>
              <w:pStyle w:val="Compact"/>
              <w:spacing w:after="20" w:before="0"/>
              <w:jc w:val="left"/>
            </w:pPr>
            <w:r>
              <w:rPr>
                <w:sz w:val="16"/>
              </w:rPr>
              <w:t xml:space="preserve">Source locator</w:t>
            </w:r>
          </w:p>
        </w:tc>
        <w:tc>
          <w:tcPr>
            <w:tcW w:type="dxa" w:w="5285"/>
            <w:vAlign w:val="center"/>
          </w:tcPr>
          <w:p>
            <w:pPr>
              <w:pStyle w:val="Compact"/>
              <w:spacing w:after="20" w:before="0"/>
              <w:jc w:val="left"/>
            </w:pPr>
            <w:r>
              <w:rPr>
                <w:sz w:val="16"/>
              </w:rPr>
              <w:t xml:space="preserve">Health, protocol metadata, optional low-resolution preview.</w:t>
            </w:r>
          </w:p>
        </w:tc>
      </w:tr>
      <w:tr>
        <w:tc>
          <w:tcPr>
            <w:tcW w:type="dxa" w:w="1728"/>
            <w:vAlign w:val="center"/>
          </w:tcPr>
          <w:p>
            <w:pPr>
              <w:pStyle w:val="Compact"/>
              <w:spacing w:after="20" w:before="0"/>
              <w:jc w:val="left"/>
            </w:pPr>
            <w:r>
              <w:rPr>
                <w:rStyle w:val="VerbatimChar"/>
                <w:sz w:val="16"/>
              </w:rPr>
              <w:t xml:space="preserve">open(config)</w:t>
            </w:r>
          </w:p>
        </w:tc>
        <w:tc>
          <w:tcPr>
            <w:tcW w:type="dxa" w:w="2520"/>
            <w:vAlign w:val="center"/>
          </w:tcPr>
          <w:p>
            <w:pPr>
              <w:pStyle w:val="Compact"/>
              <w:spacing w:after="20" w:before="0"/>
              <w:jc w:val="left"/>
            </w:pPr>
            <w:r>
              <w:rPr>
                <w:sz w:val="16"/>
              </w:rPr>
              <w:t xml:space="preserve">Authenticated runtime config</w:t>
            </w:r>
          </w:p>
        </w:tc>
        <w:tc>
          <w:tcPr>
            <w:tcW w:type="dxa" w:w="5285"/>
            <w:vAlign w:val="center"/>
          </w:tcPr>
          <w:p>
            <w:pPr>
              <w:pStyle w:val="Compact"/>
              <w:spacing w:after="20" w:before="0"/>
              <w:jc w:val="left"/>
            </w:pPr>
            <w:r>
              <w:rPr>
                <w:sz w:val="16"/>
              </w:rPr>
              <w:t xml:space="preserve">Opaque session handle or explicit error.</w:t>
            </w:r>
          </w:p>
        </w:tc>
      </w:tr>
      <w:tr>
        <w:tc>
          <w:tcPr>
            <w:tcW w:type="dxa" w:w="1728"/>
            <w:vAlign w:val="center"/>
          </w:tcPr>
          <w:p>
            <w:pPr>
              <w:pStyle w:val="Compact"/>
              <w:spacing w:after="20" w:before="0"/>
              <w:jc w:val="left"/>
            </w:pPr>
            <w:r>
              <w:rPr>
                <w:rStyle w:val="VerbatimChar"/>
                <w:sz w:val="16"/>
              </w:rPr>
              <w:t xml:space="preserve">next_frame(session, deadline)</w:t>
            </w:r>
          </w:p>
        </w:tc>
        <w:tc>
          <w:tcPr>
            <w:tcW w:type="dxa" w:w="2520"/>
            <w:vAlign w:val="center"/>
          </w:tcPr>
          <w:p>
            <w:pPr>
              <w:pStyle w:val="Compact"/>
              <w:spacing w:after="20" w:before="0"/>
              <w:jc w:val="left"/>
            </w:pPr>
            <w:r>
              <w:rPr>
                <w:sz w:val="16"/>
              </w:rPr>
              <w:t xml:space="preserve">Deadline/selection options</w:t>
            </w:r>
          </w:p>
        </w:tc>
        <w:tc>
          <w:tcPr>
            <w:tcW w:type="dxa" w:w="5285"/>
            <w:vAlign w:val="center"/>
          </w:tcPr>
          <w:p>
            <w:pPr>
              <w:pStyle w:val="Compact"/>
              <w:spacing w:after="20" w:before="0"/>
              <w:jc w:val="left"/>
            </w:pPr>
            <w:r>
              <w:rPr>
                <w:rStyle w:val="VerbatimChar"/>
                <w:sz w:val="16"/>
              </w:rPr>
              <w:t xml:space="preserve">FrameEnvelope</w:t>
            </w:r>
            <w:r>
              <w:rPr>
                <w:sz w:val="16"/>
              </w:rPr>
              <w:t xml:space="preserve"> </w:t>
            </w:r>
            <w:r>
              <w:rPr>
                <w:sz w:val="16"/>
              </w:rPr>
              <w:t xml:space="preserve">or timeout/end-of-stream state.</w:t>
            </w:r>
          </w:p>
        </w:tc>
      </w:tr>
      <w:tr>
        <w:tc>
          <w:tcPr>
            <w:tcW w:type="dxa" w:w="1728"/>
            <w:vAlign w:val="center"/>
          </w:tcPr>
          <w:p>
            <w:pPr>
              <w:pStyle w:val="Compact"/>
              <w:spacing w:after="20" w:before="0"/>
              <w:jc w:val="left"/>
            </w:pPr>
            <w:r>
              <w:rPr>
                <w:rStyle w:val="VerbatimChar"/>
                <w:sz w:val="16"/>
              </w:rPr>
              <w:t xml:space="preserve">health(session)</w:t>
            </w:r>
          </w:p>
        </w:tc>
        <w:tc>
          <w:tcPr>
            <w:tcW w:type="dxa" w:w="2520"/>
            <w:vAlign w:val="center"/>
          </w:tcPr>
          <w:p>
            <w:pPr>
              <w:pStyle w:val="Compact"/>
              <w:spacing w:after="20" w:before="0"/>
              <w:jc w:val="left"/>
            </w:pPr>
            <w:r>
              <w:rPr>
                <w:sz w:val="16"/>
              </w:rPr>
              <w:t xml:space="preserve">Session handle</w:t>
            </w:r>
          </w:p>
        </w:tc>
        <w:tc>
          <w:tcPr>
            <w:tcW w:type="dxa" w:w="5285"/>
            <w:vAlign w:val="center"/>
          </w:tcPr>
          <w:p>
            <w:pPr>
              <w:pStyle w:val="Compact"/>
              <w:spacing w:after="20" w:before="0"/>
              <w:jc w:val="left"/>
            </w:pPr>
            <w:r>
              <w:rPr>
                <w:sz w:val="16"/>
              </w:rPr>
              <w:t xml:space="preserve">Status, last success, error code, reconnect attempts.</w:t>
            </w:r>
          </w:p>
        </w:tc>
      </w:tr>
      <w:tr>
        <w:tc>
          <w:tcPr>
            <w:tcW w:type="dxa" w:w="1728"/>
            <w:vAlign w:val="center"/>
          </w:tcPr>
          <w:p>
            <w:pPr>
              <w:pStyle w:val="Compact"/>
              <w:spacing w:after="20" w:before="0"/>
              <w:jc w:val="left"/>
            </w:pPr>
            <w:r>
              <w:rPr>
                <w:rStyle w:val="VerbatimChar"/>
                <w:sz w:val="16"/>
              </w:rPr>
              <w:t xml:space="preserve">close(session)</w:t>
            </w:r>
          </w:p>
        </w:tc>
        <w:tc>
          <w:tcPr>
            <w:tcW w:type="dxa" w:w="2520"/>
            <w:vAlign w:val="center"/>
          </w:tcPr>
          <w:p>
            <w:pPr>
              <w:pStyle w:val="Compact"/>
              <w:spacing w:after="20" w:before="0"/>
              <w:jc w:val="left"/>
            </w:pPr>
            <w:r>
              <w:rPr>
                <w:sz w:val="16"/>
              </w:rPr>
              <w:t xml:space="preserve">Session handle</w:t>
            </w:r>
          </w:p>
        </w:tc>
        <w:tc>
          <w:tcPr>
            <w:tcW w:type="dxa" w:w="5285"/>
            <w:vAlign w:val="center"/>
          </w:tcPr>
          <w:p>
            <w:pPr>
              <w:pStyle w:val="Compact"/>
              <w:spacing w:after="20" w:before="0"/>
              <w:jc w:val="left"/>
            </w:pPr>
            <w:r>
              <w:rPr>
                <w:sz w:val="16"/>
              </w:rPr>
              <w:t xml:space="preserve">Deterministic cleanup.</w:t>
            </w:r>
          </w:p>
        </w:tc>
      </w:tr>
    </w:tbl>
    <w:p>
      <w:pPr>
        <w:pStyle w:val="BodyText"/>
      </w:pPr>
      <w:r>
        <w:rPr>
          <w:rStyle w:val="VerbatimChar"/>
        </w:rPr>
        <w:t xml:space="preserve">FrameEnvelope</w:t>
      </w:r>
      <w:r>
        <w:t xml:space="preserve"> </w:t>
      </w:r>
      <w:r>
        <w:t xml:space="preserve">minimum:</w:t>
      </w:r>
      <w:r>
        <w:t xml:space="preserve"> </w:t>
      </w:r>
      <w:r>
        <w:rPr>
          <w:rStyle w:val="VerbatimChar"/>
        </w:rPr>
        <w:t xml:space="preserve">source_id</w:t>
      </w:r>
      <w:r>
        <w:t xml:space="preserve">,</w:t>
      </w:r>
      <w:r>
        <w:t xml:space="preserve"> </w:t>
      </w:r>
      <w:r>
        <w:rPr>
          <w:rStyle w:val="VerbatimChar"/>
        </w:rPr>
        <w:t xml:space="preserve">frame_id</w:t>
      </w:r>
      <w:r>
        <w:t xml:space="preserve">,</w:t>
      </w:r>
      <w:r>
        <w:t xml:space="preserve"> </w:t>
      </w:r>
      <w:r>
        <w:rPr>
          <w:rStyle w:val="VerbatimChar"/>
        </w:rPr>
        <w:t xml:space="preserve">captured_at_utc</w:t>
      </w:r>
      <w:r>
        <w:t xml:space="preserve">,</w:t>
      </w:r>
      <w:r>
        <w:t xml:space="preserve"> </w:t>
      </w:r>
      <w:r>
        <w:rPr>
          <w:rStyle w:val="VerbatimChar"/>
        </w:rPr>
        <w:t xml:space="preserve">received_at_utc</w:t>
      </w:r>
      <w:r>
        <w:t xml:space="preserve">,</w:t>
      </w:r>
      <w:r>
        <w:t xml:space="preserve"> </w:t>
      </w:r>
      <w:r>
        <w:rPr>
          <w:rStyle w:val="VerbatimChar"/>
        </w:rPr>
        <w:t xml:space="preserve">sequence</w:t>
      </w:r>
      <w:r>
        <w:t xml:space="preserve">,</w:t>
      </w:r>
      <w:r>
        <w:t xml:space="preserve"> </w:t>
      </w:r>
      <w:r>
        <w:rPr>
          <w:rStyle w:val="VerbatimChar"/>
        </w:rPr>
        <w:t xml:space="preserve">content_type</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payload_ref</w:t>
      </w:r>
      <w:r>
        <w:t xml:space="preserve">,</w:t>
      </w:r>
      <w:r>
        <w:t xml:space="preserve"> </w:t>
      </w:r>
      <w:r>
        <w:rPr>
          <w:rStyle w:val="VerbatimChar"/>
        </w:rPr>
        <w:t xml:space="preserve">transform</w:t>
      </w:r>
      <w:r>
        <w:t xml:space="preserve">,</w:t>
      </w:r>
      <w:r>
        <w:t xml:space="preserve"> </w:t>
      </w:r>
      <w:r>
        <w:rPr>
          <w:rStyle w:val="VerbatimChar"/>
        </w:rPr>
        <w:t xml:space="preserve">privacy_flags</w:t>
      </w:r>
      <w:r>
        <w:t xml:space="preserve">.</w:t>
      </w:r>
    </w:p>
    <w:bookmarkEnd w:id="68"/>
    <w:bookmarkStart w:id="69" w:name="inference-engine-interface"/>
    <w:p>
      <w:pPr>
        <w:pStyle w:val="Heading3"/>
      </w:pPr>
      <w:r>
        <w:t xml:space="preserve">9.2 Inference engine interface</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2016"/>
        <w:gridCol w:w="7517"/>
      </w:tblGrid>
      <w:tr>
        <w:trPr>
          <w:tblHeader w:val="on"/>
          <w:tblHeader w:val="true"/>
        </w:trPr>
        <w:tc>
          <w:tcPr>
            <w:tcW w:type="dxa" w:w="2016"/>
            <w:vAlign w:val="center"/>
          </w:tcPr>
          <w:p>
            <w:pPr>
              <w:pStyle w:val="Compact"/>
              <w:spacing w:after="20" w:before="0"/>
              <w:jc w:val="left"/>
            </w:pPr>
            <w:r>
              <w:rPr>
                <w:b/>
                <w:sz w:val="16"/>
              </w:rPr>
              <w:t xml:space="preserve">Operation</w:t>
            </w:r>
          </w:p>
        </w:tc>
        <w:tc>
          <w:tcPr>
            <w:tcW w:type="dxa" w:w="7517"/>
            <w:vAlign w:val="center"/>
          </w:tcPr>
          <w:p>
            <w:pPr>
              <w:pStyle w:val="Compact"/>
              <w:spacing w:after="20" w:before="0"/>
              <w:jc w:val="left"/>
            </w:pPr>
            <w:r>
              <w:rPr>
                <w:b/>
                <w:sz w:val="16"/>
              </w:rPr>
              <w:t xml:space="preserve">Contract</w:t>
            </w:r>
          </w:p>
        </w:tc>
      </w:tr>
      <w:tr>
        <w:tc>
          <w:tcPr>
            <w:tcW w:type="dxa" w:w="2016"/>
            <w:vAlign w:val="center"/>
          </w:tcPr>
          <w:p>
            <w:pPr>
              <w:pStyle w:val="Compact"/>
              <w:spacing w:after="20" w:before="0"/>
              <w:jc w:val="left"/>
            </w:pPr>
            <w:r>
              <w:rPr>
                <w:rStyle w:val="VerbatimChar"/>
                <w:sz w:val="16"/>
              </w:rPr>
              <w:t xml:space="preserve">capabilities()</w:t>
            </w:r>
          </w:p>
        </w:tc>
        <w:tc>
          <w:tcPr>
            <w:tcW w:type="dxa" w:w="7517"/>
            <w:vAlign w:val="center"/>
          </w:tcPr>
          <w:p>
            <w:pPr>
              <w:pStyle w:val="Compact"/>
              <w:spacing w:after="20" w:before="0"/>
              <w:jc w:val="left"/>
            </w:pPr>
            <w:r>
              <w:rPr>
                <w:sz w:val="16"/>
              </w:rPr>
              <w:t xml:space="preserve">Supported modalities (image/text/audio), answer kinds, maximum limits, supported batching, CPU/GPU requirements.</w:t>
            </w:r>
          </w:p>
        </w:tc>
      </w:tr>
      <w:tr>
        <w:tc>
          <w:tcPr>
            <w:tcW w:type="dxa" w:w="2016"/>
            <w:vAlign w:val="center"/>
          </w:tcPr>
          <w:p>
            <w:pPr>
              <w:pStyle w:val="Compact"/>
              <w:spacing w:after="20" w:before="0"/>
              <w:jc w:val="left"/>
            </w:pPr>
            <w:r>
              <w:rPr>
                <w:rStyle w:val="VerbatimChar"/>
                <w:sz w:val="16"/>
              </w:rPr>
              <w:t xml:space="preserve">load(model_config)</w:t>
            </w:r>
          </w:p>
        </w:tc>
        <w:tc>
          <w:tcPr>
            <w:tcW w:type="dxa" w:w="7517"/>
            <w:vAlign w:val="center"/>
          </w:tcPr>
          <w:p>
            <w:pPr>
              <w:pStyle w:val="Compact"/>
              <w:spacing w:after="20" w:before="0"/>
              <w:jc w:val="left"/>
            </w:pPr>
            <w:r>
              <w:rPr>
                <w:sz w:val="16"/>
              </w:rPr>
              <w:t xml:space="preserve">Pinned model revision, device, memory budget; returns model identity or error.</w:t>
            </w:r>
          </w:p>
        </w:tc>
      </w:tr>
      <w:tr>
        <w:tc>
          <w:tcPr>
            <w:tcW w:type="dxa" w:w="2016"/>
            <w:vAlign w:val="center"/>
          </w:tcPr>
          <w:p>
            <w:pPr>
              <w:pStyle w:val="Compact"/>
              <w:spacing w:after="20" w:before="0"/>
              <w:jc w:val="left"/>
            </w:pPr>
            <w:r>
              <w:rPr>
                <w:rStyle w:val="VerbatimChar"/>
                <w:sz w:val="16"/>
              </w:rPr>
              <w:t xml:space="preserve">infer(InferenceRequest)</w:t>
            </w:r>
          </w:p>
        </w:tc>
        <w:tc>
          <w:tcPr>
            <w:tcW w:type="dxa" w:w="7517"/>
            <w:vAlign w:val="center"/>
          </w:tcPr>
          <w:p>
            <w:pPr>
              <w:pStyle w:val="Compact"/>
              <w:spacing w:after="20" w:before="0"/>
              <w:jc w:val="left"/>
            </w:pPr>
            <w:r>
              <w:rPr>
                <w:sz w:val="16"/>
              </w:rPr>
              <w:t xml:space="preserve">Returns</w:t>
            </w:r>
            <w:r>
              <w:rPr>
                <w:sz w:val="16"/>
              </w:rPr>
              <w:t xml:space="preserve"> </w:t>
            </w:r>
            <w:r>
              <w:rPr>
                <w:rStyle w:val="VerbatimChar"/>
                <w:sz w:val="16"/>
              </w:rPr>
              <w:t xml:space="preserve">InferenceResult</w:t>
            </w:r>
            <w:r>
              <w:rPr>
                <w:sz w:val="16"/>
              </w:rPr>
              <w:t xml:space="preserve"> </w:t>
            </w:r>
            <w:r>
              <w:rPr>
                <w:sz w:val="16"/>
              </w:rPr>
              <w:t xml:space="preserve">with answers, raw values, elapsed time, validity and provenance.</w:t>
            </w:r>
          </w:p>
        </w:tc>
      </w:tr>
      <w:tr>
        <w:tc>
          <w:tcPr>
            <w:tcW w:type="dxa" w:w="2016"/>
            <w:vAlign w:val="center"/>
          </w:tcPr>
          <w:p>
            <w:pPr>
              <w:pStyle w:val="Compact"/>
              <w:spacing w:after="20" w:before="0"/>
              <w:jc w:val="left"/>
            </w:pPr>
            <w:r>
              <w:rPr>
                <w:rStyle w:val="VerbatimChar"/>
                <w:sz w:val="16"/>
              </w:rPr>
              <w:t xml:space="preserve">health()</w:t>
            </w:r>
          </w:p>
        </w:tc>
        <w:tc>
          <w:tcPr>
            <w:tcW w:type="dxa" w:w="7517"/>
            <w:vAlign w:val="center"/>
          </w:tcPr>
          <w:p>
            <w:pPr>
              <w:pStyle w:val="Compact"/>
              <w:spacing w:after="20" w:before="0"/>
              <w:jc w:val="left"/>
            </w:pPr>
            <w:r>
              <w:rPr>
                <w:sz w:val="16"/>
              </w:rPr>
              <w:t xml:space="preserve">Ready/degraded/loading, memory estimate, last failure.</w:t>
            </w:r>
          </w:p>
        </w:tc>
      </w:tr>
      <w:tr>
        <w:tc>
          <w:tcPr>
            <w:tcW w:type="dxa" w:w="2016"/>
            <w:vAlign w:val="center"/>
          </w:tcPr>
          <w:p>
            <w:pPr>
              <w:pStyle w:val="Compact"/>
              <w:spacing w:after="20" w:before="0"/>
              <w:jc w:val="left"/>
            </w:pPr>
            <w:r>
              <w:rPr>
                <w:rStyle w:val="VerbatimChar"/>
                <w:sz w:val="16"/>
              </w:rPr>
              <w:t xml:space="preserve">unload()</w:t>
            </w:r>
          </w:p>
        </w:tc>
        <w:tc>
          <w:tcPr>
            <w:tcW w:type="dxa" w:w="7517"/>
            <w:vAlign w:val="center"/>
          </w:tcPr>
          <w:p>
            <w:pPr>
              <w:pStyle w:val="Compact"/>
              <w:spacing w:after="20" w:before="0"/>
              <w:jc w:val="left"/>
            </w:pPr>
            <w:r>
              <w:rPr>
                <w:sz w:val="16"/>
              </w:rPr>
              <w:t xml:space="preserve">Free resources without destroying stored observations.</w:t>
            </w:r>
          </w:p>
        </w:tc>
      </w:tr>
    </w:tbl>
    <w:p>
      <w:pPr>
        <w:pStyle w:val="BodyText"/>
      </w:pPr>
      <w:r>
        <w:rPr>
          <w:rStyle w:val="VerbatimChar"/>
        </w:rPr>
        <w:t xml:space="preserve">InferenceRequest</w:t>
      </w:r>
      <w:r>
        <w:t xml:space="preserve">: image reference(s), zero or more structured user questions, query-version IDs, priority, deadline, inference policy.</w:t>
      </w:r>
      <w:r>
        <w:t xml:space="preserve"> </w:t>
      </w:r>
      <w:r>
        <w:rPr>
          <w:rStyle w:val="VerbatimChar"/>
        </w:rPr>
        <w:t xml:space="preserve">InferenceResult</w:t>
      </w:r>
      <w:r>
        <w:t xml:space="preserve">: per-question typed answers; clear unsupported/error status; provider raw response; model revision; timings. Different providers may return scores with different semantics; no universal confidence field shall be inferred without a documented mapping.</w:t>
      </w:r>
    </w:p>
    <w:bookmarkEnd w:id="69"/>
    <w:bookmarkStart w:id="70" w:name="measurement-plugin-interface"/>
    <w:p>
      <w:pPr>
        <w:pStyle w:val="Heading3"/>
      </w:pPr>
      <w:r>
        <w:t xml:space="preserve">9.3 Measurement plugin interface</w:t>
      </w:r>
    </w:p>
    <w:p>
      <w:pPr>
        <w:pStyle w:val="FirstParagraph"/>
      </w:pPr>
      <w:r>
        <w:rPr>
          <w:rStyle w:val="VerbatimChar"/>
        </w:rPr>
        <w:t xml:space="preserve">capabilities()</w:t>
      </w:r>
      <w:r>
        <w:t xml:space="preserve">,</w:t>
      </w:r>
      <w:r>
        <w:t xml:space="preserve"> </w:t>
      </w:r>
      <w:r>
        <w:rPr>
          <w:rStyle w:val="VerbatimChar"/>
        </w:rPr>
        <w:t xml:space="preserve">initial_state(config)</w:t>
      </w:r>
      <w:r>
        <w:t xml:space="preserve">,</w:t>
      </w:r>
      <w:r>
        <w:t xml:space="preserve"> </w:t>
      </w:r>
      <w:r>
        <w:rPr>
          <w:rStyle w:val="VerbatimChar"/>
        </w:rPr>
        <w:t xml:space="preserve">consume(state, observation) -&gt; {new_state, event_changes, metric_changes}</w:t>
      </w:r>
      <w:r>
        <w:t xml:space="preserve">,</w:t>
      </w:r>
      <w:r>
        <w:t xml:space="preserve"> </w:t>
      </w:r>
      <w:r>
        <w:rPr>
          <w:rStyle w:val="VerbatimChar"/>
        </w:rPr>
        <w:t xml:space="preserve">replay(observations, policy)</w:t>
      </w:r>
      <w:r>
        <w:t xml:space="preserve">,</w:t>
      </w:r>
      <w:r>
        <w:t xml:space="preserve"> </w:t>
      </w:r>
      <w:r>
        <w:rPr>
          <w:rStyle w:val="VerbatimChar"/>
        </w:rPr>
        <w:t xml:space="preserve">serialize_state()</w:t>
      </w:r>
      <w:r>
        <w:t xml:space="preserve">. Implementations must be replay-deterministic for an identical ordered input sequence and policy version.</w:t>
      </w:r>
    </w:p>
    <w:bookmarkEnd w:id="70"/>
    <w:bookmarkStart w:id="71" w:name="notificationaction-interface"/>
    <w:p>
      <w:pPr>
        <w:pStyle w:val="Heading3"/>
      </w:pPr>
      <w:r>
        <w:t xml:space="preserve">9.4 Notification/action interface</w:t>
      </w:r>
    </w:p>
    <w:p>
      <w:pPr>
        <w:pStyle w:val="FirstParagraph"/>
      </w:pPr>
      <w:r>
        <w:rPr>
          <w:rStyle w:val="VerbatimChar"/>
        </w:rPr>
        <w:t xml:space="preserve">validate_channel(config)</w:t>
      </w:r>
      <w:r>
        <w:t xml:space="preserve">,</w:t>
      </w:r>
      <w:r>
        <w:t xml:space="preserve"> </w:t>
      </w:r>
      <w:r>
        <w:rPr>
          <w:rStyle w:val="VerbatimChar"/>
        </w:rPr>
        <w:t xml:space="preserve">deliver(notification, idempotency_key) -&gt; delivered | temporary_failure | permanent_failure</w:t>
      </w:r>
      <w:r>
        <w:t xml:space="preserve">,</w:t>
      </w:r>
      <w:r>
        <w:t xml:space="preserve"> </w:t>
      </w:r>
      <w:r>
        <w:rPr>
          <w:rStyle w:val="VerbatimChar"/>
        </w:rPr>
        <w:t xml:space="preserve">health()</w:t>
      </w:r>
      <w:r>
        <w:t xml:space="preserve">. The core owns retry policy, access control and audit; a plugin must not bypass them.</w:t>
      </w:r>
    </w:p>
    <w:bookmarkEnd w:id="71"/>
    <w:bookmarkStart w:id="72" w:name="dashboard-widget-interface-later"/>
    <w:p>
      <w:pPr>
        <w:pStyle w:val="Heading3"/>
      </w:pPr>
      <w:r>
        <w:t xml:space="preserve">9.5 Dashboard widget interface (Later)</w:t>
      </w:r>
    </w:p>
    <w:p>
      <w:pPr>
        <w:pStyle w:val="FirstParagraph"/>
      </w:pPr>
      <w:r>
        <w:rPr>
          <w:rStyle w:val="VerbatimChar"/>
        </w:rPr>
        <w:t xml:space="preserve">manifest()</w:t>
      </w:r>
      <w:r>
        <w:t xml:space="preserve">, declared data requirements, filter schema and presentation component. Widgets read only authorised API projections; plugins must not get unrestricted database credentials or the entire raw camera stream by default.</w:t>
      </w:r>
    </w:p>
    <w:bookmarkEnd w:id="72"/>
    <w:bookmarkStart w:id="73" w:name="example-plugin-manifest"/>
    <w:p>
      <w:pPr>
        <w:pStyle w:val="Heading3"/>
      </w:pPr>
      <w:r>
        <w:t xml:space="preserve">9.6 Example plugin manifest</w:t>
      </w:r>
    </w:p>
    <w:p>
      <w:pPr>
        <w:pStyle w:val="SourceCode"/>
      </w:pPr>
      <w:r>
        <w:rPr>
          <w:rStyle w:val="FunctionTok"/>
        </w:rPr>
        <w:t xml:space="preserve">api_version</w:t>
      </w:r>
      <w:r>
        <w:rPr>
          <w:rStyle w:val="KeywordTok"/>
        </w:rPr>
        <w:t xml:space="preserve">:</w:t>
      </w:r>
      <w:r>
        <w:rPr>
          <w:rStyle w:val="AttributeTok"/>
        </w:rPr>
        <w:t xml:space="preserve"> </w:t>
      </w:r>
      <w:r>
        <w:rPr>
          <w:rStyle w:val="StringTok"/>
        </w:rPr>
        <w:t xml:space="preserve">"0.1"</w:t>
      </w:r>
      <w:r>
        <w:br/>
      </w:r>
      <w:r>
        <w:rPr>
          <w:rStyle w:val="FunctionTok"/>
        </w:rPr>
        <w:t xml:space="preserve">plugin_id</w:t>
      </w:r>
      <w:r>
        <w:rPr>
          <w:rStyle w:val="KeywordTok"/>
        </w:rPr>
        <w:t xml:space="preserve">:</w:t>
      </w:r>
      <w:r>
        <w:rPr>
          <w:rStyle w:val="AttributeTok"/>
        </w:rPr>
        <w:t xml:space="preserve"> </w:t>
      </w:r>
      <w:r>
        <w:rPr>
          <w:rStyle w:val="StringTok"/>
        </w:rPr>
        <w:t xml:space="preserve">"org.example.inference.liquid-d1-3b"</w:t>
      </w:r>
      <w:r>
        <w:br/>
      </w:r>
      <w:r>
        <w:rPr>
          <w:rStyle w:val="FunctionTok"/>
        </w:rPr>
        <w:t xml:space="preserve">plugin_type</w:t>
      </w:r>
      <w:r>
        <w:rPr>
          <w:rStyle w:val="KeywordTok"/>
        </w:rPr>
        <w:t xml:space="preserve">:</w:t>
      </w:r>
      <w:r>
        <w:rPr>
          <w:rStyle w:val="AttributeTok"/>
        </w:rPr>
        <w:t xml:space="preserve"> </w:t>
      </w:r>
      <w:r>
        <w:rPr>
          <w:rStyle w:val="StringTok"/>
        </w:rPr>
        <w:t xml:space="preserve">"inference"</w:t>
      </w:r>
      <w:r>
        <w:br/>
      </w:r>
      <w:r>
        <w:rPr>
          <w:rStyle w:val="FunctionTok"/>
        </w:rPr>
        <w:t xml:space="preserve">version</w:t>
      </w:r>
      <w:r>
        <w:rPr>
          <w:rStyle w:val="KeywordTok"/>
        </w:rPr>
        <w:t xml:space="preserve">:</w:t>
      </w:r>
      <w:r>
        <w:rPr>
          <w:rStyle w:val="AttributeTok"/>
        </w:rPr>
        <w:t xml:space="preserve"> </w:t>
      </w:r>
      <w:r>
        <w:rPr>
          <w:rStyle w:val="StringTok"/>
        </w:rPr>
        <w:t xml:space="preserve">"0.1.0"</w:t>
      </w:r>
      <w:r>
        <w:br/>
      </w:r>
      <w:r>
        <w:rPr>
          <w:rStyle w:val="FunctionTok"/>
        </w:rPr>
        <w:t xml:space="preserve">capabilities</w:t>
      </w:r>
      <w:r>
        <w:rPr>
          <w:rStyle w:val="KeywordTok"/>
        </w:rPr>
        <w:t xml:space="preserve">:</w:t>
      </w:r>
      <w:r>
        <w:br/>
      </w:r>
      <w:r>
        <w:rPr>
          <w:rStyle w:val="AttributeTok"/>
        </w:rPr>
        <w:t xml:space="preserve">  </w:t>
      </w:r>
      <w:r>
        <w:rPr>
          <w:rStyle w:val="FunctionTok"/>
        </w:rPr>
        <w:t xml:space="preserve">input_modalities</w:t>
      </w:r>
      <w:r>
        <w:rPr>
          <w:rStyle w:val="KeywordTok"/>
        </w:rPr>
        <w:t xml:space="preserve">:</w:t>
      </w:r>
      <w:r>
        <w:rPr>
          <w:rStyle w:val="AttributeTok"/>
        </w:rPr>
        <w:t xml:space="preserve"> </w:t>
      </w:r>
      <w:r>
        <w:rPr>
          <w:rStyle w:val="KeywordTok"/>
        </w:rPr>
        <w:t xml:space="preserve">[</w:t>
      </w:r>
      <w:r>
        <w:rPr>
          <w:rStyle w:val="AttributeTok"/>
        </w:rPr>
        <w:t xml:space="preserve">image</w:t>
      </w:r>
      <w:r>
        <w:rPr>
          <w:rStyle w:val="KeywordTok"/>
        </w:rPr>
        <w:t xml:space="preserve">,</w:t>
      </w:r>
      <w:r>
        <w:rPr>
          <w:rStyle w:val="AttributeTok"/>
        </w:rPr>
        <w:t xml:space="preserve"> text</w:t>
      </w:r>
      <w:r>
        <w:rPr>
          <w:rStyle w:val="KeywordTok"/>
        </w:rPr>
        <w:t xml:space="preserve">]</w:t>
      </w:r>
      <w:r>
        <w:br/>
      </w:r>
      <w:r>
        <w:rPr>
          <w:rStyle w:val="AttributeTok"/>
        </w:rPr>
        <w:t xml:space="preserve">  </w:t>
      </w:r>
      <w:r>
        <w:rPr>
          <w:rStyle w:val="FunctionTok"/>
        </w:rPr>
        <w:t xml:space="preserve">answer_kinds</w:t>
      </w:r>
      <w:r>
        <w:rPr>
          <w:rStyle w:val="KeywordTok"/>
        </w:rPr>
        <w:t xml:space="preserve">:</w:t>
      </w:r>
      <w:r>
        <w:rPr>
          <w:rStyle w:val="AttributeTok"/>
        </w:rPr>
        <w:t xml:space="preserve"> </w:t>
      </w:r>
      <w:r>
        <w:rPr>
          <w:rStyle w:val="KeywordTok"/>
        </w:rPr>
        <w:t xml:space="preserve">[</w:t>
      </w:r>
      <w:r>
        <w:rPr>
          <w:rStyle w:val="AttributeTok"/>
        </w:rPr>
        <w:t xml:space="preserve">binary</w:t>
      </w:r>
      <w:r>
        <w:rPr>
          <w:rStyle w:val="KeywordTok"/>
        </w:rPr>
        <w:t xml:space="preserve">,</w:t>
      </w:r>
      <w:r>
        <w:rPr>
          <w:rStyle w:val="AttributeTok"/>
        </w:rPr>
        <w:t xml:space="preserve"> choice</w:t>
      </w:r>
      <w:r>
        <w:rPr>
          <w:rStyle w:val="KeywordTok"/>
        </w:rPr>
        <w:t xml:space="preserve">,</w:t>
      </w:r>
      <w:r>
        <w:rPr>
          <w:rStyle w:val="AttributeTok"/>
        </w:rPr>
        <w:t xml:space="preserve"> ordinal</w:t>
      </w:r>
      <w:r>
        <w:rPr>
          <w:rStyle w:val="KeywordTok"/>
        </w:rPr>
        <w:t xml:space="preserve">]</w:t>
      </w:r>
      <w:r>
        <w:br/>
      </w:r>
      <w:r>
        <w:rPr>
          <w:rStyle w:val="AttributeTok"/>
        </w:rPr>
        <w:t xml:space="preserve">  </w:t>
      </w:r>
      <w:r>
        <w:rPr>
          <w:rStyle w:val="FunctionTok"/>
        </w:rPr>
        <w:t xml:space="preserve">batch_questions_per_frame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raw_field_mapping</w:t>
      </w:r>
      <w:r>
        <w:rPr>
          <w:rStyle w:val="KeywordTok"/>
        </w:rPr>
        <w:t xml:space="preserve">:</w:t>
      </w:r>
      <w:r>
        <w:br/>
      </w:r>
      <w:r>
        <w:rPr>
          <w:rStyle w:val="AttributeTok"/>
        </w:rPr>
        <w:t xml:space="preserve">    </w:t>
      </w:r>
      <w:r>
        <w:rPr>
          <w:rStyle w:val="FunctionTok"/>
        </w:rPr>
        <w:t xml:space="preserve">binary</w:t>
      </w:r>
      <w:r>
        <w:rPr>
          <w:rStyle w:val="KeywordTok"/>
        </w:rPr>
        <w:t xml:space="preserve">:</w:t>
      </w:r>
      <w:r>
        <w:rPr>
          <w:rStyle w:val="AttributeTok"/>
        </w:rPr>
        <w:t xml:space="preserve"> </w:t>
      </w:r>
      <w:r>
        <w:rPr>
          <w:rStyle w:val="StringTok"/>
        </w:rPr>
        <w:t xml:space="preserve">"noul"</w:t>
      </w:r>
      <w:r>
        <w:br/>
      </w:r>
      <w:r>
        <w:rPr>
          <w:rStyle w:val="AttributeTok"/>
        </w:rPr>
        <w:t xml:space="preserve">    </w:t>
      </w:r>
      <w:r>
        <w:rPr>
          <w:rStyle w:val="FunctionTok"/>
        </w:rPr>
        <w:t xml:space="preserve">choice</w:t>
      </w:r>
      <w:r>
        <w:rPr>
          <w:rStyle w:val="KeywordTok"/>
        </w:rPr>
        <w:t xml:space="preserve">:</w:t>
      </w:r>
      <w:r>
        <w:rPr>
          <w:rStyle w:val="AttributeTok"/>
        </w:rPr>
        <w:t xml:space="preserve"> </w:t>
      </w:r>
      <w:r>
        <w:rPr>
          <w:rStyle w:val="KeywordTok"/>
        </w:rPr>
        <w:t xml:space="preserve">[</w:t>
      </w:r>
      <w:r>
        <w:rPr>
          <w:rStyle w:val="StringTok"/>
        </w:rPr>
        <w:t xml:space="preserve">"choice"</w:t>
      </w:r>
      <w:r>
        <w:rPr>
          <w:rStyle w:val="KeywordTok"/>
        </w:rPr>
        <w:t xml:space="preserve">,</w:t>
      </w:r>
      <w:r>
        <w:rPr>
          <w:rStyle w:val="AttributeTok"/>
        </w:rPr>
        <w:t xml:space="preserve"> </w:t>
      </w:r>
      <w:r>
        <w:rPr>
          <w:rStyle w:val="StringTok"/>
        </w:rPr>
        <w:t xml:space="preserve">"confidence"</w:t>
      </w:r>
      <w:r>
        <w:rPr>
          <w:rStyle w:val="KeywordTok"/>
        </w:rPr>
        <w:t xml:space="preserve">,</w:t>
      </w:r>
      <w:r>
        <w:rPr>
          <w:rStyle w:val="AttributeTok"/>
        </w:rPr>
        <w:t xml:space="preserve"> </w:t>
      </w:r>
      <w:r>
        <w:rPr>
          <w:rStyle w:val="StringTok"/>
        </w:rPr>
        <w:t xml:space="preserve">"probabilities"</w:t>
      </w:r>
      <w:r>
        <w:rPr>
          <w:rStyle w:val="KeywordTok"/>
        </w:rPr>
        <w:t xml:space="preserve">]</w:t>
      </w:r>
      <w:r>
        <w:br/>
      </w:r>
      <w:r>
        <w:rPr>
          <w:rStyle w:val="AttributeTok"/>
        </w:rPr>
        <w:t xml:space="preserve">    </w:t>
      </w:r>
      <w:r>
        <w:rPr>
          <w:rStyle w:val="FunctionTok"/>
        </w:rPr>
        <w:t xml:space="preserve">ordinal</w:t>
      </w:r>
      <w:r>
        <w:rPr>
          <w:rStyle w:val="KeywordTok"/>
        </w:rPr>
        <w:t xml:space="preserve">:</w:t>
      </w:r>
      <w:r>
        <w:rPr>
          <w:rStyle w:val="AttributeTok"/>
        </w:rPr>
        <w:t xml:space="preserve"> </w:t>
      </w:r>
      <w:r>
        <w:rPr>
          <w:rStyle w:val="KeywordTok"/>
        </w:rPr>
        <w:t xml:space="preserve">[</w:t>
      </w:r>
      <w:r>
        <w:rPr>
          <w:rStyle w:val="StringTok"/>
        </w:rPr>
        <w:t xml:space="preserve">"score"</w:t>
      </w:r>
      <w:r>
        <w:rPr>
          <w:rStyle w:val="KeywordTok"/>
        </w:rPr>
        <w:t xml:space="preserve">,</w:t>
      </w:r>
      <w:r>
        <w:rPr>
          <w:rStyle w:val="AttributeTok"/>
        </w:rPr>
        <w:t xml:space="preserve"> </w:t>
      </w:r>
      <w:r>
        <w:rPr>
          <w:rStyle w:val="StringTok"/>
        </w:rPr>
        <w:t xml:space="preserve">"confidence"</w:t>
      </w:r>
      <w:r>
        <w:rPr>
          <w:rStyle w:val="KeywordTok"/>
        </w:rPr>
        <w:t xml:space="preserve">,</w:t>
      </w:r>
      <w:r>
        <w:rPr>
          <w:rStyle w:val="AttributeTok"/>
        </w:rPr>
        <w:t xml:space="preserve"> </w:t>
      </w:r>
      <w:r>
        <w:rPr>
          <w:rStyle w:val="StringTok"/>
        </w:rPr>
        <w:t xml:space="preserve">"probabilities"</w:t>
      </w:r>
      <w:r>
        <w:rPr>
          <w:rStyle w:val="KeywordTok"/>
        </w:rPr>
        <w:t xml:space="preserve">,</w:t>
      </w:r>
      <w:r>
        <w:rPr>
          <w:rStyle w:val="AttributeTok"/>
        </w:rPr>
        <w:t xml:space="preserve"> </w:t>
      </w:r>
      <w:r>
        <w:rPr>
          <w:rStyle w:val="StringTok"/>
        </w:rPr>
        <w:t xml:space="preserve">"legend"</w:t>
      </w:r>
      <w:r>
        <w:rPr>
          <w:rStyle w:val="KeywordTok"/>
        </w:rPr>
        <w:t xml:space="preserve">]</w:t>
      </w:r>
      <w:r>
        <w:br/>
      </w:r>
      <w:r>
        <w:rPr>
          <w:rStyle w:val="FunctionTok"/>
        </w:rPr>
        <w:t xml:space="preserve">runtime</w:t>
      </w:r>
      <w:r>
        <w:rPr>
          <w:rStyle w:val="KeywordTok"/>
        </w:rPr>
        <w:t xml:space="preserve">:</w:t>
      </w:r>
      <w:r>
        <w:br/>
      </w:r>
      <w:r>
        <w:rPr>
          <w:rStyle w:val="AttributeTok"/>
        </w:rPr>
        <w:t xml:space="preserve">  </w:t>
      </w:r>
      <w:r>
        <w:rPr>
          <w:rStyle w:val="FunctionTok"/>
        </w:rPr>
        <w:t xml:space="preserve">cpu_supported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accelerator_optional</w:t>
      </w:r>
      <w:r>
        <w:rPr>
          <w:rStyle w:val="KeywordTok"/>
        </w:rPr>
        <w:t xml:space="preserve">:</w:t>
      </w:r>
      <w:r>
        <w:rPr>
          <w:rStyle w:val="AttributeTok"/>
        </w:rPr>
        <w:t xml:space="preserve"> </w:t>
      </w:r>
      <w:r>
        <w:rPr>
          <w:rStyle w:val="CharTok"/>
        </w:rPr>
        <w:t xml:space="preserve">true</w:t>
      </w:r>
      <w:r>
        <w:br/>
      </w:r>
      <w:r>
        <w:rPr>
          <w:rStyle w:val="FunctionTok"/>
        </w:rPr>
        <w:t xml:space="preserve">configuration_schema</w:t>
      </w:r>
      <w:r>
        <w:rPr>
          <w:rStyle w:val="KeywordTok"/>
        </w:rPr>
        <w:t xml:space="preserve">:</w:t>
      </w:r>
      <w:r>
        <w:rPr>
          <w:rStyle w:val="AttributeTok"/>
        </w:rPr>
        <w:t xml:space="preserve"> </w:t>
      </w:r>
      <w:r>
        <w:rPr>
          <w:rStyle w:val="StringTok"/>
        </w:rPr>
        <w:t xml:space="preserve">"schemas/liquid-d1-3b.json"</w:t>
      </w:r>
    </w:p>
    <w:p>
      <w:pPr>
        <w:pStyle w:val="FirstParagraph"/>
      </w:pPr>
      <w:r>
        <w:t xml:space="preserve">The manifest describes intended integration behaviour; it is not itself a tested plugin implementation. d1-3B’s official schema and CPU loading behaviour are documented in [SRC-01]. In Phase 0, implement these only as small Python typing/contracts; do not construct an installation/plugin marketplace or dynamically execute untrusted plugin packages.</w:t>
      </w:r>
    </w:p>
    <w:bookmarkEnd w:id="73"/>
    <w:bookmarkEnd w:id="74"/>
    <w:bookmarkStart w:id="79" w:name="X5c8dab84185f667fabae22681b208aee78bd3db"/>
    <w:p>
      <w:pPr>
        <w:pStyle w:val="Heading2"/>
      </w:pPr>
      <w:r>
        <w:t xml:space="preserve">10. User journeys and information architecture</w:t>
      </w:r>
    </w:p>
    <w:bookmarkStart w:id="75" w:name="add-a-source"/>
    <w:p>
      <w:pPr>
        <w:pStyle w:val="Heading3"/>
      </w:pPr>
      <w:r>
        <w:t xml:space="preserve">10.1 Add a source</w:t>
      </w:r>
    </w:p>
    <w:p>
      <w:pPr>
        <w:pStyle w:val="Compact"/>
        <w:numPr>
          <w:ilvl w:val="0"/>
          <w:numId w:val="1008"/>
        </w:numPr>
      </w:pPr>
      <w:r>
        <w:t xml:space="preserve">Choose the source type and enter its location or select a local device.</w:t>
      </w:r>
    </w:p>
    <w:p>
      <w:pPr>
        <w:pStyle w:val="Compact"/>
        <w:numPr>
          <w:ilvl w:val="0"/>
          <w:numId w:val="1008"/>
        </w:numPr>
      </w:pPr>
      <w:r>
        <w:t xml:space="preserve">Enter credentials in a protected field if required.</w:t>
      </w:r>
    </w:p>
    <w:p>
      <w:pPr>
        <w:pStyle w:val="Compact"/>
        <w:numPr>
          <w:ilvl w:val="0"/>
          <w:numId w:val="1008"/>
        </w:numPr>
      </w:pPr>
      <w:r>
        <w:t xml:space="preserve">Test connection, see supported stream capabilities and inspect a privacy-masked preview.</w:t>
      </w:r>
    </w:p>
    <w:p>
      <w:pPr>
        <w:pStyle w:val="Compact"/>
        <w:numPr>
          <w:ilvl w:val="0"/>
          <w:numId w:val="1008"/>
        </w:numPr>
      </w:pPr>
      <w:r>
        <w:t xml:space="preserve">Choose sampling schedule and evidence-retention policy.</w:t>
      </w:r>
    </w:p>
    <w:p>
      <w:pPr>
        <w:pStyle w:val="Compact"/>
        <w:numPr>
          <w:ilvl w:val="0"/>
          <w:numId w:val="1008"/>
        </w:numPr>
      </w:pPr>
      <w:r>
        <w:t xml:space="preserve">Save; source status and metrics appear in Sources.</w:t>
      </w:r>
    </w:p>
    <w:bookmarkEnd w:id="75"/>
    <w:bookmarkStart w:id="76" w:name="create-a-query"/>
    <w:p>
      <w:pPr>
        <w:pStyle w:val="Heading3"/>
      </w:pPr>
      <w:r>
        <w:t xml:space="preserve">10.2 Create a query</w:t>
      </w:r>
    </w:p>
    <w:p>
      <w:pPr>
        <w:pStyle w:val="Compact"/>
        <w:numPr>
          <w:ilvl w:val="0"/>
          <w:numId w:val="1009"/>
        </w:numPr>
      </w:pPr>
      <w:r>
        <w:t xml:space="preserve">Select a source and an optional ROI.</w:t>
      </w:r>
    </w:p>
    <w:p>
      <w:pPr>
        <w:pStyle w:val="Compact"/>
        <w:numPr>
          <w:ilvl w:val="0"/>
          <w:numId w:val="1009"/>
        </w:numPr>
      </w:pPr>
      <w:r>
        <w:t xml:space="preserve">Enter the question and choose binary, named options or ordered levels.</w:t>
      </w:r>
    </w:p>
    <w:p>
      <w:pPr>
        <w:pStyle w:val="Compact"/>
        <w:numPr>
          <w:ilvl w:val="0"/>
          <w:numId w:val="1009"/>
        </w:numPr>
      </w:pPr>
      <w:r>
        <w:t xml:space="preserve">Choose threshold, confirmation policy and sample schedule.</w:t>
      </w:r>
    </w:p>
    <w:p>
      <w:pPr>
        <w:pStyle w:val="Compact"/>
        <w:numPr>
          <w:ilvl w:val="0"/>
          <w:numId w:val="1009"/>
        </w:numPr>
      </w:pPr>
      <w:r>
        <w:t xml:space="preserve">Run a test against a sample frame and inspect the raw answer and timing.</w:t>
      </w:r>
    </w:p>
    <w:p>
      <w:pPr>
        <w:pStyle w:val="Compact"/>
        <w:numPr>
          <w:ilvl w:val="0"/>
          <w:numId w:val="1009"/>
        </w:numPr>
      </w:pPr>
      <w:r>
        <w:t xml:space="preserve">Select measurements and optionally a rule; save the immutable version.</w:t>
      </w:r>
    </w:p>
    <w:bookmarkEnd w:id="76"/>
    <w:bookmarkStart w:id="77" w:name="review-an-incident"/>
    <w:p>
      <w:pPr>
        <w:pStyle w:val="Heading3"/>
      </w:pPr>
      <w:r>
        <w:t xml:space="preserve">10.3 Review an incident</w:t>
      </w:r>
    </w:p>
    <w:p>
      <w:pPr>
        <w:pStyle w:val="Compact"/>
        <w:numPr>
          <w:ilvl w:val="0"/>
          <w:numId w:val="1010"/>
        </w:numPr>
      </w:pPr>
      <w:r>
        <w:t xml:space="preserve">See an alert or a new timeline event.</w:t>
      </w:r>
    </w:p>
    <w:p>
      <w:pPr>
        <w:pStyle w:val="Compact"/>
        <w:numPr>
          <w:ilvl w:val="0"/>
          <w:numId w:val="1010"/>
        </w:numPr>
      </w:pPr>
      <w:r>
        <w:t xml:space="preserve">Open event details; inspect state history, model/query version and source quality.</w:t>
      </w:r>
    </w:p>
    <w:p>
      <w:pPr>
        <w:pStyle w:val="Compact"/>
        <w:numPr>
          <w:ilvl w:val="0"/>
          <w:numId w:val="1010"/>
        </w:numPr>
      </w:pPr>
      <w:r>
        <w:t xml:space="preserve">Open permitted evidence and related chart points.</w:t>
      </w:r>
    </w:p>
    <w:p>
      <w:pPr>
        <w:pStyle w:val="Compact"/>
        <w:numPr>
          <w:ilvl w:val="0"/>
          <w:numId w:val="1010"/>
        </w:numPr>
      </w:pPr>
      <w:r>
        <w:t xml:space="preserve">Acknowledge or annotate the event if authorised.</w:t>
      </w:r>
    </w:p>
    <w:p>
      <w:pPr>
        <w:pStyle w:val="Compact"/>
        <w:numPr>
          <w:ilvl w:val="0"/>
          <w:numId w:val="1010"/>
        </w:numPr>
      </w:pPr>
      <w:r>
        <w:t xml:space="preserve">Export permissible data; the action is audited.</w:t>
      </w:r>
    </w:p>
    <w:bookmarkEnd w:id="77"/>
    <w:bookmarkStart w:id="78" w:name="dashboard-layout"/>
    <w:p>
      <w:pPr>
        <w:pStyle w:val="Heading3"/>
      </w:pPr>
      <w:r>
        <w:t xml:space="preserve">10.4 Dashboard layout</w:t>
      </w:r>
    </w:p>
    <w:p>
      <w:pPr>
        <w:pStyle w:val="FirstParagraph"/>
      </w:pPr>
      <w:r>
        <w:t xml:space="preserve">MVP navigation:</w:t>
      </w:r>
      <w:r>
        <w:t xml:space="preserve"> </w:t>
      </w:r>
      <w:r>
        <w:rPr>
          <w:b/>
          <w:bCs/>
        </w:rPr>
        <w:t xml:space="preserve">Overview</w:t>
      </w:r>
      <w:r>
        <w:t xml:space="preserve">,</w:t>
      </w:r>
      <w:r>
        <w:t xml:space="preserve"> </w:t>
      </w:r>
      <w:r>
        <w:rPr>
          <w:b/>
          <w:bCs/>
        </w:rPr>
        <w:t xml:space="preserve">Sources</w:t>
      </w:r>
      <w:r>
        <w:t xml:space="preserve">,</w:t>
      </w:r>
      <w:r>
        <w:t xml:space="preserve"> </w:t>
      </w:r>
      <w:r>
        <w:rPr>
          <w:b/>
          <w:bCs/>
        </w:rPr>
        <w:t xml:space="preserve">Questions</w:t>
      </w:r>
      <w:r>
        <w:t xml:space="preserve">,</w:t>
      </w:r>
      <w:r>
        <w:t xml:space="preserve"> </w:t>
      </w:r>
      <w:r>
        <w:rPr>
          <w:b/>
          <w:bCs/>
        </w:rPr>
        <w:t xml:space="preserve">Events</w:t>
      </w:r>
      <w:r>
        <w:t xml:space="preserve">,</w:t>
      </w:r>
      <w:r>
        <w:t xml:space="preserve"> </w:t>
      </w:r>
      <w:r>
        <w:rPr>
          <w:b/>
          <w:bCs/>
        </w:rPr>
        <w:t xml:space="preserve">Measurements</w:t>
      </w:r>
      <w:r>
        <w:t xml:space="preserve">,</w:t>
      </w:r>
      <w:r>
        <w:t xml:space="preserve"> </w:t>
      </w:r>
      <w:r>
        <w:rPr>
          <w:b/>
          <w:bCs/>
        </w:rPr>
        <w:t xml:space="preserve">Alerts</w:t>
      </w:r>
      <w:r>
        <w:t xml:space="preserve">,</w:t>
      </w:r>
      <w:r>
        <w:t xml:space="preserve"> </w:t>
      </w:r>
      <w:r>
        <w:rPr>
          <w:b/>
          <w:bCs/>
        </w:rPr>
        <w:t xml:space="preserve">Administration</w:t>
      </w:r>
      <w:r>
        <w:t xml:space="preserve">. Overview contains connection-health tiles, latest answers, a recent-event timeline and configurable date filters. The dashboard must distinguish</w:t>
      </w:r>
      <w:r>
        <w:t xml:space="preserve"> </w:t>
      </w:r>
      <w:r>
        <w:rPr>
          <w:b/>
          <w:bCs/>
        </w:rPr>
        <w:t xml:space="preserve">no event</w:t>
      </w:r>
      <w:r>
        <w:t xml:space="preserve"> </w:t>
      </w:r>
      <w:r>
        <w:t xml:space="preserve">from</w:t>
      </w:r>
      <w:r>
        <w:t xml:space="preserve"> </w:t>
      </w:r>
      <w:r>
        <w:rPr>
          <w:b/>
          <w:bCs/>
        </w:rPr>
        <w:t xml:space="preserve">no data</w:t>
      </w:r>
      <w:r>
        <w:t xml:space="preserve"> </w:t>
      </w:r>
      <w:r>
        <w:t xml:space="preserve">in charts and summaries.</w:t>
      </w:r>
    </w:p>
    <w:bookmarkEnd w:id="78"/>
    <w:bookmarkEnd w:id="79"/>
    <w:bookmarkStart w:id="84" w:name="security-privacy-and-governance"/>
    <w:p>
      <w:pPr>
        <w:pStyle w:val="Heading2"/>
      </w:pPr>
      <w:r>
        <w:t xml:space="preserve">11. Security, privacy and governance</w:t>
      </w:r>
    </w:p>
    <w:bookmarkStart w:id="80" w:name="security-requirements"/>
    <w:p>
      <w:pPr>
        <w:pStyle w:val="Heading3"/>
      </w:pPr>
      <w:r>
        <w:t xml:space="preserve">11.1 Security requirements</w:t>
      </w:r>
    </w:p>
    <w:p>
      <w:pPr>
        <w:pStyle w:val="FirstParagraph"/>
      </w:pPr>
      <w:r>
        <w:t xml:space="preserve">Use least-privilege server-side access checks for sources, questions, evidence and exports. Keep camera credentials encrypted/protected at rest using an OS-bound secret store for local installations or managed secrets in enterprise deployments. Avoid default remote exposure. Require TLS for non-loopback web interfaces. Validate stream URLs and block access to unauthorised hosts to avoid SSRF. Perform basic input validation, rate limits, dependency vulnerability scanning and audit logging. Disable arbitrary plugin execution for ordinary users.</w:t>
      </w:r>
    </w:p>
    <w:bookmarkEnd w:id="80"/>
    <w:bookmarkStart w:id="81" w:name="workplace-and-nhs-deployments"/>
    <w:p>
      <w:pPr>
        <w:pStyle w:val="Heading3"/>
      </w:pPr>
      <w:r>
        <w:t xml:space="preserve">11.2 Workplace and NHS deployments</w:t>
      </w:r>
    </w:p>
    <w:p>
      <w:pPr>
        <w:pStyle w:val="FirstParagraph"/>
      </w:pPr>
      <w:r>
        <w:t xml:space="preserve">A workplace deployment shall not proceed solely because the software can access existing webcams. Obtain permission for camera use, confirm a lawful purpose, consult appropriate workplace stakeholders and complete a DPIA when legally required; the ICO guidance specifically addresses workplace video monitoring, its intrusiveness and DPIA obligations [SRC-05, SRC-06]. The product will provide controls that make compliant deployment possible, but it cannot confer organisational approval.</w:t>
      </w:r>
    </w:p>
    <w:bookmarkEnd w:id="81"/>
    <w:bookmarkStart w:id="82" w:name="privacy-defaults"/>
    <w:p>
      <w:pPr>
        <w:pStyle w:val="Heading3"/>
      </w:pPr>
      <w:r>
        <w:t xml:space="preserve">11.3 Privacy defaults</w:t>
      </w:r>
    </w:p>
    <w:p>
      <w:pPr>
        <w:pStyle w:val="Compact"/>
        <w:numPr>
          <w:ilvl w:val="0"/>
          <w:numId w:val="1011"/>
        </w:numPr>
      </w:pPr>
      <w:r>
        <w:t xml:space="preserve">Audio capture disabled by default, and absent from the MVP.</w:t>
      </w:r>
    </w:p>
    <w:p>
      <w:pPr>
        <w:pStyle w:val="Compact"/>
        <w:numPr>
          <w:ilvl w:val="0"/>
          <w:numId w:val="1011"/>
        </w:numPr>
      </w:pPr>
      <w:r>
        <w:t xml:space="preserve">No face identification or employee-performance scoring.</w:t>
      </w:r>
    </w:p>
    <w:p>
      <w:pPr>
        <w:pStyle w:val="Compact"/>
        <w:numPr>
          <w:ilvl w:val="0"/>
          <w:numId w:val="1011"/>
        </w:numPr>
      </w:pPr>
      <w:r>
        <w:t xml:space="preserve">Region-specific monitoring preferred over full-frame retention.</w:t>
      </w:r>
    </w:p>
    <w:p>
      <w:pPr>
        <w:pStyle w:val="Compact"/>
        <w:numPr>
          <w:ilvl w:val="0"/>
          <w:numId w:val="1011"/>
        </w:numPr>
      </w:pPr>
      <w:r>
        <w:t xml:space="preserve">Evidence storage disabled by default except explicitly enabled incident snapshots.</w:t>
      </w:r>
    </w:p>
    <w:p>
      <w:pPr>
        <w:pStyle w:val="Compact"/>
        <w:numPr>
          <w:ilvl w:val="0"/>
          <w:numId w:val="1011"/>
        </w:numPr>
      </w:pPr>
      <w:r>
        <w:t xml:space="preserve">Configurable retention and per-role permission to view sensitive images.</w:t>
      </w:r>
    </w:p>
    <w:p>
      <w:pPr>
        <w:pStyle w:val="Compact"/>
        <w:numPr>
          <w:ilvl w:val="0"/>
          <w:numId w:val="1011"/>
        </w:numPr>
      </w:pPr>
      <w:r>
        <w:t xml:space="preserve">Audit all evidence viewing, exporting and deletion in enterprise mode (basic auditing in MVP).</w:t>
      </w:r>
    </w:p>
    <w:p>
      <w:pPr>
        <w:pStyle w:val="Compact"/>
        <w:numPr>
          <w:ilvl w:val="0"/>
          <w:numId w:val="1011"/>
        </w:numPr>
      </w:pPr>
      <w:r>
        <w:t xml:space="preserve">Use private network access or VPN for remote RTSP, not direct public camera exposure [SRC-02].</w:t>
      </w:r>
    </w:p>
    <w:bookmarkEnd w:id="82"/>
    <w:bookmarkStart w:id="83" w:name="safety-classification"/>
    <w:p>
      <w:pPr>
        <w:pStyle w:val="Heading3"/>
      </w:pPr>
      <w:r>
        <w:t xml:space="preserve">11.4 Safety classification</w:t>
      </w:r>
    </w:p>
    <w:p>
      <w:pPr>
        <w:pStyle w:val="FirstParagraph"/>
      </w:pPr>
      <w:r>
        <w:t xml:space="preserve">Visual anomaly alerts shall be advisory unless a separate safety assessment and certified controls establish otherwise. Critical premises should have dedicated water/leak, smoke, temperature and access-control sensors. The dashboard must disclose when a source or model is degraded, and no</w:t>
      </w:r>
      <w:r>
        <w:t xml:space="preserve"> </w:t>
      </w:r>
      <w:r>
        <w:t xml:space="preserve">“</w:t>
      </w:r>
      <w:r>
        <w:t xml:space="preserve">all clear</w:t>
      </w:r>
      <w:r>
        <w:t xml:space="preserve">”</w:t>
      </w:r>
      <w:r>
        <w:t xml:space="preserve"> </w:t>
      </w:r>
      <w:r>
        <w:t xml:space="preserve">shall be issued from missing observations.</w:t>
      </w:r>
    </w:p>
    <w:bookmarkEnd w:id="83"/>
    <w:bookmarkEnd w:id="84"/>
    <w:bookmarkStart w:id="85" w:name="technical-design-choices-and-rationale"/>
    <w:p>
      <w:pPr>
        <w:pStyle w:val="Heading2"/>
      </w:pPr>
      <w:r>
        <w:t xml:space="preserve">12. Technical design choices and rationale</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656"/>
        <w:gridCol w:w="2016"/>
        <w:gridCol w:w="5861"/>
      </w:tblGrid>
      <w:tr>
        <w:trPr>
          <w:tblHeader w:val="on"/>
          <w:tblHeader w:val="true"/>
        </w:trPr>
        <w:tc>
          <w:tcPr>
            <w:tcW w:type="dxa" w:w="1656"/>
            <w:vAlign w:val="center"/>
          </w:tcPr>
          <w:p>
            <w:pPr>
              <w:pStyle w:val="Compact"/>
              <w:spacing w:after="20" w:before="0"/>
              <w:jc w:val="left"/>
            </w:pPr>
            <w:r>
              <w:rPr>
                <w:b/>
                <w:sz w:val="16"/>
              </w:rPr>
              <w:t xml:space="preserve">Decision</w:t>
            </w:r>
          </w:p>
        </w:tc>
        <w:tc>
          <w:tcPr>
            <w:tcW w:type="dxa" w:w="2016"/>
            <w:vAlign w:val="center"/>
          </w:tcPr>
          <w:p>
            <w:pPr>
              <w:pStyle w:val="Compact"/>
              <w:spacing w:after="20" w:before="0"/>
              <w:jc w:val="left"/>
            </w:pPr>
            <w:r>
              <w:rPr>
                <w:b/>
                <w:sz w:val="16"/>
              </w:rPr>
              <w:t xml:space="preserve">Proposed baseline</w:t>
            </w:r>
          </w:p>
        </w:tc>
        <w:tc>
          <w:tcPr>
            <w:tcW w:type="dxa" w:w="5861"/>
            <w:vAlign w:val="center"/>
          </w:tcPr>
          <w:p>
            <w:pPr>
              <w:pStyle w:val="Compact"/>
              <w:spacing w:after="20" w:before="0"/>
              <w:jc w:val="left"/>
            </w:pPr>
            <w:r>
              <w:rPr>
                <w:b/>
                <w:sz w:val="16"/>
              </w:rPr>
              <w:t xml:space="preserve">Rationale / revisitable condition</w:t>
            </w:r>
          </w:p>
        </w:tc>
      </w:tr>
      <w:tr>
        <w:tc>
          <w:tcPr>
            <w:tcW w:type="dxa" w:w="1656"/>
            <w:vAlign w:val="center"/>
          </w:tcPr>
          <w:p>
            <w:pPr>
              <w:pStyle w:val="Compact"/>
              <w:spacing w:after="20" w:before="0"/>
              <w:jc w:val="left"/>
            </w:pPr>
            <w:r>
              <w:rPr>
                <w:sz w:val="16"/>
              </w:rPr>
              <w:t xml:space="preserve">Backend</w:t>
            </w:r>
          </w:p>
        </w:tc>
        <w:tc>
          <w:tcPr>
            <w:tcW w:type="dxa" w:w="2016"/>
            <w:vAlign w:val="center"/>
          </w:tcPr>
          <w:p>
            <w:pPr>
              <w:pStyle w:val="Compact"/>
              <w:spacing w:after="20" w:before="0"/>
              <w:jc w:val="left"/>
            </w:pPr>
            <w:r>
              <w:rPr>
                <w:sz w:val="16"/>
              </w:rPr>
              <w:t xml:space="preserve">Python 3.11+ and FastAPI</w:t>
            </w:r>
          </w:p>
        </w:tc>
        <w:tc>
          <w:tcPr>
            <w:tcW w:type="dxa" w:w="5861"/>
            <w:vAlign w:val="center"/>
          </w:tcPr>
          <w:p>
            <w:pPr>
              <w:pStyle w:val="Compact"/>
              <w:spacing w:after="20" w:before="0"/>
              <w:jc w:val="left"/>
            </w:pPr>
            <w:r>
              <w:rPr>
                <w:sz w:val="16"/>
              </w:rPr>
              <w:t xml:space="preserve">Ecosystem aligns with camera and inference libraries; version pin after compatibility test.</w:t>
            </w:r>
          </w:p>
        </w:tc>
      </w:tr>
      <w:tr>
        <w:tc>
          <w:tcPr>
            <w:tcW w:type="dxa" w:w="1656"/>
            <w:vAlign w:val="center"/>
          </w:tcPr>
          <w:p>
            <w:pPr>
              <w:pStyle w:val="Compact"/>
              <w:spacing w:after="20" w:before="0"/>
              <w:jc w:val="left"/>
            </w:pPr>
            <w:r>
              <w:rPr>
                <w:sz w:val="16"/>
              </w:rPr>
              <w:t xml:space="preserve">Video / images</w:t>
            </w:r>
          </w:p>
        </w:tc>
        <w:tc>
          <w:tcPr>
            <w:tcW w:type="dxa" w:w="2016"/>
            <w:vAlign w:val="center"/>
          </w:tcPr>
          <w:p>
            <w:pPr>
              <w:pStyle w:val="Compact"/>
              <w:spacing w:after="20" w:before="0"/>
              <w:jc w:val="left"/>
            </w:pPr>
            <w:r>
              <w:rPr>
                <w:sz w:val="16"/>
              </w:rPr>
              <w:t xml:space="preserve">FFmpeg + OpenCV</w:t>
            </w:r>
          </w:p>
        </w:tc>
        <w:tc>
          <w:tcPr>
            <w:tcW w:type="dxa" w:w="5861"/>
            <w:vAlign w:val="center"/>
          </w:tcPr>
          <w:p>
            <w:pPr>
              <w:pStyle w:val="Compact"/>
              <w:spacing w:after="20" w:before="0"/>
              <w:jc w:val="left"/>
            </w:pPr>
            <w:r>
              <w:rPr>
                <w:sz w:val="16"/>
              </w:rPr>
              <w:t xml:space="preserve">Broad capture/codec coverage; adapter boundaries avoid lock-in.</w:t>
            </w:r>
          </w:p>
        </w:tc>
      </w:tr>
      <w:tr>
        <w:tc>
          <w:tcPr>
            <w:tcW w:type="dxa" w:w="1656"/>
            <w:vAlign w:val="center"/>
          </w:tcPr>
          <w:p>
            <w:pPr>
              <w:pStyle w:val="Compact"/>
              <w:spacing w:after="20" w:before="0"/>
              <w:jc w:val="left"/>
            </w:pPr>
            <w:r>
              <w:rPr>
                <w:sz w:val="16"/>
              </w:rPr>
              <w:t xml:space="preserve">Initial inference</w:t>
            </w:r>
          </w:p>
        </w:tc>
        <w:tc>
          <w:tcPr>
            <w:tcW w:type="dxa" w:w="2016"/>
            <w:vAlign w:val="center"/>
          </w:tcPr>
          <w:p>
            <w:pPr>
              <w:pStyle w:val="Compact"/>
              <w:spacing w:after="20" w:before="0"/>
              <w:jc w:val="left"/>
            </w:pPr>
            <w:r>
              <w:rPr>
                <w:sz w:val="16"/>
              </w:rPr>
              <w:t xml:space="preserve">Liquid AI d1-3B</w:t>
            </w:r>
          </w:p>
        </w:tc>
        <w:tc>
          <w:tcPr>
            <w:tcW w:type="dxa" w:w="5861"/>
            <w:vAlign w:val="center"/>
          </w:tcPr>
          <w:p>
            <w:pPr>
              <w:pStyle w:val="Compact"/>
              <w:spacing w:after="20" w:before="0"/>
              <w:jc w:val="left"/>
            </w:pPr>
            <w:r>
              <w:rPr>
                <w:sz w:val="16"/>
              </w:rPr>
              <w:t xml:space="preserve">Official image/text question interface; not a permanent dependency.</w:t>
            </w:r>
          </w:p>
        </w:tc>
      </w:tr>
      <w:tr>
        <w:tc>
          <w:tcPr>
            <w:tcW w:type="dxa" w:w="1656"/>
            <w:vAlign w:val="center"/>
          </w:tcPr>
          <w:p>
            <w:pPr>
              <w:pStyle w:val="Compact"/>
              <w:spacing w:after="20" w:before="0"/>
              <w:jc w:val="left"/>
            </w:pPr>
            <w:r>
              <w:rPr>
                <w:sz w:val="16"/>
              </w:rPr>
              <w:t xml:space="preserve">Local DB</w:t>
            </w:r>
          </w:p>
        </w:tc>
        <w:tc>
          <w:tcPr>
            <w:tcW w:type="dxa" w:w="2016"/>
            <w:vAlign w:val="center"/>
          </w:tcPr>
          <w:p>
            <w:pPr>
              <w:pStyle w:val="Compact"/>
              <w:spacing w:after="20" w:before="0"/>
              <w:jc w:val="left"/>
            </w:pPr>
            <w:r>
              <w:rPr>
                <w:sz w:val="16"/>
              </w:rPr>
              <w:t xml:space="preserve">SQLite with migrations</w:t>
            </w:r>
          </w:p>
        </w:tc>
        <w:tc>
          <w:tcPr>
            <w:tcW w:type="dxa" w:w="5861"/>
            <w:vAlign w:val="center"/>
          </w:tcPr>
          <w:p>
            <w:pPr>
              <w:pStyle w:val="Compact"/>
              <w:spacing w:after="20" w:before="0"/>
              <w:jc w:val="left"/>
            </w:pPr>
            <w:r>
              <w:rPr>
                <w:sz w:val="16"/>
              </w:rPr>
              <w:t xml:space="preserve">Simple laptop installation and test reproducibility.</w:t>
            </w:r>
          </w:p>
        </w:tc>
      </w:tr>
      <w:tr>
        <w:tc>
          <w:tcPr>
            <w:tcW w:type="dxa" w:w="1656"/>
            <w:vAlign w:val="center"/>
          </w:tcPr>
          <w:p>
            <w:pPr>
              <w:pStyle w:val="Compact"/>
              <w:spacing w:after="20" w:before="0"/>
              <w:jc w:val="left"/>
            </w:pPr>
            <w:r>
              <w:rPr>
                <w:sz w:val="16"/>
              </w:rPr>
              <w:t xml:space="preserve">Scale-out DB</w:t>
            </w:r>
          </w:p>
        </w:tc>
        <w:tc>
          <w:tcPr>
            <w:tcW w:type="dxa" w:w="2016"/>
            <w:vAlign w:val="center"/>
          </w:tcPr>
          <w:p>
            <w:pPr>
              <w:pStyle w:val="Compact"/>
              <w:spacing w:after="20" w:before="0"/>
              <w:jc w:val="left"/>
            </w:pPr>
            <w:r>
              <w:rPr>
                <w:sz w:val="16"/>
              </w:rPr>
              <w:t xml:space="preserve">PostgreSQL</w:t>
            </w:r>
          </w:p>
        </w:tc>
        <w:tc>
          <w:tcPr>
            <w:tcW w:type="dxa" w:w="5861"/>
            <w:vAlign w:val="center"/>
          </w:tcPr>
          <w:p>
            <w:pPr>
              <w:pStyle w:val="Compact"/>
              <w:spacing w:after="20" w:before="0"/>
              <w:jc w:val="left"/>
            </w:pPr>
            <w:r>
              <w:rPr>
                <w:sz w:val="16"/>
              </w:rPr>
              <w:t xml:space="preserve">Concurrent enterprise loads; Later.</w:t>
            </w:r>
          </w:p>
        </w:tc>
      </w:tr>
      <w:tr>
        <w:tc>
          <w:tcPr>
            <w:tcW w:type="dxa" w:w="1656"/>
            <w:vAlign w:val="center"/>
          </w:tcPr>
          <w:p>
            <w:pPr>
              <w:pStyle w:val="Compact"/>
              <w:spacing w:after="20" w:before="0"/>
              <w:jc w:val="left"/>
            </w:pPr>
            <w:r>
              <w:rPr>
                <w:sz w:val="16"/>
              </w:rPr>
              <w:t xml:space="preserve">Web UI</w:t>
            </w:r>
          </w:p>
        </w:tc>
        <w:tc>
          <w:tcPr>
            <w:tcW w:type="dxa" w:w="2016"/>
            <w:vAlign w:val="center"/>
          </w:tcPr>
          <w:p>
            <w:pPr>
              <w:pStyle w:val="Compact"/>
              <w:spacing w:after="20" w:before="0"/>
              <w:jc w:val="left"/>
            </w:pPr>
            <w:r>
              <w:rPr>
                <w:sz w:val="16"/>
              </w:rPr>
              <w:t xml:space="preserve">React + TypeScript</w:t>
            </w:r>
          </w:p>
        </w:tc>
        <w:tc>
          <w:tcPr>
            <w:tcW w:type="dxa" w:w="5861"/>
            <w:vAlign w:val="center"/>
          </w:tcPr>
          <w:p>
            <w:pPr>
              <w:pStyle w:val="Compact"/>
              <w:spacing w:after="20" w:before="0"/>
              <w:jc w:val="left"/>
            </w:pPr>
            <w:r>
              <w:rPr>
                <w:sz w:val="16"/>
              </w:rPr>
              <w:t xml:space="preserve">Component-based dashboard with typed API client.</w:t>
            </w:r>
          </w:p>
        </w:tc>
      </w:tr>
      <w:tr>
        <w:tc>
          <w:tcPr>
            <w:tcW w:type="dxa" w:w="1656"/>
            <w:vAlign w:val="center"/>
          </w:tcPr>
          <w:p>
            <w:pPr>
              <w:pStyle w:val="Compact"/>
              <w:spacing w:after="20" w:before="0"/>
              <w:jc w:val="left"/>
            </w:pPr>
            <w:r>
              <w:rPr>
                <w:sz w:val="16"/>
              </w:rPr>
              <w:t xml:space="preserve">Charts</w:t>
            </w:r>
          </w:p>
        </w:tc>
        <w:tc>
          <w:tcPr>
            <w:tcW w:type="dxa" w:w="2016"/>
            <w:vAlign w:val="center"/>
          </w:tcPr>
          <w:p>
            <w:pPr>
              <w:pStyle w:val="Compact"/>
              <w:spacing w:after="20" w:before="0"/>
              <w:jc w:val="left"/>
            </w:pPr>
            <w:r>
              <w:rPr>
                <w:sz w:val="16"/>
              </w:rPr>
              <w:t xml:space="preserve">ECharts or Recharts</w:t>
            </w:r>
          </w:p>
        </w:tc>
        <w:tc>
          <w:tcPr>
            <w:tcW w:type="dxa" w:w="5861"/>
            <w:vAlign w:val="center"/>
          </w:tcPr>
          <w:p>
            <w:pPr>
              <w:pStyle w:val="Compact"/>
              <w:spacing w:after="20" w:before="0"/>
              <w:jc w:val="left"/>
            </w:pPr>
            <w:r>
              <w:rPr>
                <w:sz w:val="16"/>
              </w:rPr>
              <w:t xml:space="preserve">Select after evaluating dense timelines and accessibility.</w:t>
            </w:r>
          </w:p>
        </w:tc>
      </w:tr>
      <w:tr>
        <w:tc>
          <w:tcPr>
            <w:tcW w:type="dxa" w:w="1656"/>
            <w:vAlign w:val="center"/>
          </w:tcPr>
          <w:p>
            <w:pPr>
              <w:pStyle w:val="Compact"/>
              <w:spacing w:after="20" w:before="0"/>
              <w:jc w:val="left"/>
            </w:pPr>
            <w:r>
              <w:rPr>
                <w:sz w:val="16"/>
              </w:rPr>
              <w:t xml:space="preserve">Evidence</w:t>
            </w:r>
          </w:p>
        </w:tc>
        <w:tc>
          <w:tcPr>
            <w:tcW w:type="dxa" w:w="2016"/>
            <w:vAlign w:val="center"/>
          </w:tcPr>
          <w:p>
            <w:pPr>
              <w:pStyle w:val="Compact"/>
              <w:spacing w:after="20" w:before="0"/>
              <w:jc w:val="left"/>
            </w:pPr>
            <w:r>
              <w:rPr>
                <w:sz w:val="16"/>
              </w:rPr>
              <w:t xml:space="preserve">Filesystem + indexed metadata</w:t>
            </w:r>
          </w:p>
        </w:tc>
        <w:tc>
          <w:tcPr>
            <w:tcW w:type="dxa" w:w="5861"/>
            <w:vAlign w:val="center"/>
          </w:tcPr>
          <w:p>
            <w:pPr>
              <w:pStyle w:val="Compact"/>
              <w:spacing w:after="20" w:before="0"/>
              <w:jc w:val="left"/>
            </w:pPr>
            <w:r>
              <w:rPr>
                <w:sz w:val="16"/>
              </w:rPr>
              <w:t xml:space="preserve">Simple to back up; abstract storage adapter for future object storage.</w:t>
            </w:r>
          </w:p>
        </w:tc>
      </w:tr>
      <w:tr>
        <w:tc>
          <w:tcPr>
            <w:tcW w:type="dxa" w:w="1656"/>
            <w:vAlign w:val="center"/>
          </w:tcPr>
          <w:p>
            <w:pPr>
              <w:pStyle w:val="Compact"/>
              <w:spacing w:after="20" w:before="0"/>
              <w:jc w:val="left"/>
            </w:pPr>
            <w:r>
              <w:rPr>
                <w:sz w:val="16"/>
              </w:rPr>
              <w:t xml:space="preserve">Execution</w:t>
            </w:r>
          </w:p>
        </w:tc>
        <w:tc>
          <w:tcPr>
            <w:tcW w:type="dxa" w:w="2016"/>
            <w:vAlign w:val="center"/>
          </w:tcPr>
          <w:p>
            <w:pPr>
              <w:pStyle w:val="Compact"/>
              <w:spacing w:after="20" w:before="0"/>
              <w:jc w:val="left"/>
            </w:pPr>
            <w:r>
              <w:rPr>
                <w:sz w:val="16"/>
              </w:rPr>
              <w:t xml:space="preserve">Service + bounded job queue</w:t>
            </w:r>
          </w:p>
        </w:tc>
        <w:tc>
          <w:tcPr>
            <w:tcW w:type="dxa" w:w="5861"/>
            <w:vAlign w:val="center"/>
          </w:tcPr>
          <w:p>
            <w:pPr>
              <w:pStyle w:val="Compact"/>
              <w:spacing w:after="20" w:before="0"/>
              <w:jc w:val="left"/>
            </w:pPr>
            <w:r>
              <w:rPr>
                <w:sz w:val="16"/>
              </w:rPr>
              <w:t xml:space="preserve">Processing survives browser sessions.</w:t>
            </w:r>
          </w:p>
        </w:tc>
      </w:tr>
      <w:tr>
        <w:tc>
          <w:tcPr>
            <w:tcW w:type="dxa" w:w="1656"/>
            <w:vAlign w:val="center"/>
          </w:tcPr>
          <w:p>
            <w:pPr>
              <w:pStyle w:val="Compact"/>
              <w:spacing w:after="20" w:before="0"/>
              <w:jc w:val="left"/>
            </w:pPr>
            <w:r>
              <w:rPr>
                <w:sz w:val="16"/>
              </w:rPr>
              <w:t xml:space="preserve">Deployment</w:t>
            </w:r>
          </w:p>
        </w:tc>
        <w:tc>
          <w:tcPr>
            <w:tcW w:type="dxa" w:w="2016"/>
            <w:vAlign w:val="center"/>
          </w:tcPr>
          <w:p>
            <w:pPr>
              <w:pStyle w:val="Compact"/>
              <w:spacing w:after="20" w:before="0"/>
              <w:jc w:val="left"/>
            </w:pPr>
            <w:r>
              <w:rPr>
                <w:sz w:val="16"/>
              </w:rPr>
              <w:t xml:space="preserve">Windows first, Linux later</w:t>
            </w:r>
          </w:p>
        </w:tc>
        <w:tc>
          <w:tcPr>
            <w:tcW w:type="dxa" w:w="5861"/>
            <w:vAlign w:val="center"/>
          </w:tcPr>
          <w:p>
            <w:pPr>
              <w:pStyle w:val="Compact"/>
              <w:spacing w:after="20" w:before="0"/>
              <w:jc w:val="left"/>
            </w:pPr>
            <w:r>
              <w:rPr>
                <w:sz w:val="16"/>
              </w:rPr>
              <w:t xml:space="preserve">Reflects initial Dell prototype and future on-premise scale.</w:t>
            </w:r>
          </w:p>
        </w:tc>
      </w:tr>
      <w:tr>
        <w:tc>
          <w:tcPr>
            <w:tcW w:type="dxa" w:w="1656"/>
            <w:vAlign w:val="center"/>
          </w:tcPr>
          <w:p>
            <w:pPr>
              <w:pStyle w:val="Compact"/>
              <w:spacing w:after="20" w:before="0"/>
              <w:jc w:val="left"/>
            </w:pPr>
            <w:r>
              <w:rPr>
                <w:sz w:val="16"/>
              </w:rPr>
              <w:t xml:space="preserve">Plugin implementation</w:t>
            </w:r>
          </w:p>
        </w:tc>
        <w:tc>
          <w:tcPr>
            <w:tcW w:type="dxa" w:w="2016"/>
            <w:vAlign w:val="center"/>
          </w:tcPr>
          <w:p>
            <w:pPr>
              <w:pStyle w:val="Compact"/>
              <w:spacing w:after="20" w:before="0"/>
              <w:jc w:val="left"/>
            </w:pPr>
            <w:r>
              <w:rPr>
                <w:sz w:val="16"/>
              </w:rPr>
              <w:t xml:space="preserve">Python protocol + JSON Schema</w:t>
            </w:r>
          </w:p>
        </w:tc>
        <w:tc>
          <w:tcPr>
            <w:tcW w:type="dxa" w:w="5861"/>
            <w:vAlign w:val="center"/>
          </w:tcPr>
          <w:p>
            <w:pPr>
              <w:pStyle w:val="Compact"/>
              <w:spacing w:after="20" w:before="0"/>
              <w:jc w:val="left"/>
            </w:pPr>
            <w:r>
              <w:rPr>
                <w:sz w:val="16"/>
              </w:rPr>
              <w:t xml:space="preserve">Typed contracts, testable boundaries, future cross-process interfaces.</w:t>
            </w:r>
          </w:p>
        </w:tc>
      </w:tr>
    </w:tbl>
    <w:p>
      <w:pPr>
        <w:pStyle w:val="BodyText"/>
      </w:pPr>
      <w:r>
        <w:rPr>
          <w:b/>
          <w:bCs/>
        </w:rPr>
        <w:t xml:space="preserve">Avoid premature commitments:</w:t>
      </w:r>
      <w:r>
        <w:t xml:space="preserve"> </w:t>
      </w:r>
      <w:r>
        <w:t xml:space="preserve">Version 0.2 does not mandate a specific quantised d1-3B format, ONVIF library, chart library, licensing scheme, cloud provider or distributed message broker. Any one of these may change after a feasibility test. The official model checkpoint uses</w:t>
      </w:r>
      <w:r>
        <w:t xml:space="preserve"> </w:t>
      </w:r>
      <w:r>
        <w:rPr>
          <w:b/>
          <w:bCs/>
        </w:rPr>
        <w:t xml:space="preserve">LFM Open License v1.0 (</w:t>
      </w:r>
      <w:r>
        <w:rPr>
          <w:rStyle w:val="VerbatimChar"/>
          <w:b/>
          <w:bCs/>
        </w:rPr>
        <w:t xml:space="preserve">lfm1.0</w:t>
      </w:r>
      <w:r>
        <w:rPr>
          <w:b/>
          <w:bCs/>
        </w:rPr>
        <w:t xml:space="preserve">)</w:t>
      </w:r>
      <w:r>
        <w:t xml:space="preserve"> </w:t>
      </w:r>
      <w:r>
        <w:t xml:space="preserve">rather than a standard unrestricted software licence; commercial use and distribution conditions in [SRC-08] require a separate review. The application licence remains independently undecided. For Phase 0, use only synthetic, public or expressly authorised non-sensitive test images. Model code executed with</w:t>
      </w:r>
      <w:r>
        <w:t xml:space="preserve"> </w:t>
      </w:r>
      <w:r>
        <w:rPr>
          <w:rStyle w:val="VerbatimChar"/>
        </w:rPr>
        <w:t xml:space="preserve">trust_remote_code=True</w:t>
      </w:r>
      <w:r>
        <w:t xml:space="preserve"> </w:t>
      </w:r>
      <w:r>
        <w:t xml:space="preserve">must be restricted to the explicitly selected and pinned official revision; it is not an arbitrary plugin-execution mechanism.</w:t>
      </w:r>
    </w:p>
    <w:bookmarkEnd w:id="85"/>
    <w:bookmarkStart w:id="86" w:name="api-sketch-and-configuration-example"/>
    <w:p>
      <w:pPr>
        <w:pStyle w:val="Heading2"/>
      </w:pPr>
      <w:r>
        <w:t xml:space="preserve">13. API sketch and configuration example</w:t>
      </w:r>
    </w:p>
    <w:p>
      <w:pPr>
        <w:pStyle w:val="FirstParagraph"/>
      </w:pPr>
      <w:r>
        <w:t xml:space="preserve">The following API shape is indicative, not a frozen public API.</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152"/>
        <w:gridCol w:w="3816"/>
        <w:gridCol w:w="4565"/>
      </w:tblGrid>
      <w:tr>
        <w:trPr>
          <w:tblHeader w:val="on"/>
          <w:tblHeader w:val="true"/>
        </w:trPr>
        <w:tc>
          <w:tcPr>
            <w:tcW w:type="dxa" w:w="1152"/>
            <w:vAlign w:val="center"/>
          </w:tcPr>
          <w:p>
            <w:pPr>
              <w:pStyle w:val="Compact"/>
              <w:spacing w:after="20" w:before="0"/>
              <w:jc w:val="left"/>
            </w:pPr>
            <w:r>
              <w:rPr>
                <w:b/>
                <w:sz w:val="16"/>
              </w:rPr>
              <w:t xml:space="preserve">Method</w:t>
            </w:r>
          </w:p>
        </w:tc>
        <w:tc>
          <w:tcPr>
            <w:tcW w:type="dxa" w:w="3816"/>
            <w:vAlign w:val="center"/>
          </w:tcPr>
          <w:p>
            <w:pPr>
              <w:pStyle w:val="Compact"/>
              <w:spacing w:after="20" w:before="0"/>
              <w:jc w:val="left"/>
            </w:pPr>
            <w:r>
              <w:rPr>
                <w:b/>
                <w:sz w:val="16"/>
              </w:rPr>
              <w:t xml:space="preserve">Path</w:t>
            </w:r>
          </w:p>
        </w:tc>
        <w:tc>
          <w:tcPr>
            <w:tcW w:type="dxa" w:w="4565"/>
            <w:vAlign w:val="center"/>
          </w:tcPr>
          <w:p>
            <w:pPr>
              <w:pStyle w:val="Compact"/>
              <w:spacing w:after="20" w:before="0"/>
              <w:jc w:val="left"/>
            </w:pPr>
            <w:r>
              <w:rPr>
                <w:b/>
                <w:sz w:val="16"/>
              </w:rPr>
              <w:t xml:space="preserve">Purpose</w:t>
            </w:r>
          </w:p>
        </w:tc>
      </w:tr>
      <w:tr>
        <w:tc>
          <w:tcPr>
            <w:tcW w:type="dxa" w:w="1152"/>
            <w:vAlign w:val="center"/>
          </w:tcPr>
          <w:p>
            <w:pPr>
              <w:pStyle w:val="Compact"/>
              <w:spacing w:after="20" w:before="0"/>
              <w:jc w:val="left"/>
            </w:pPr>
            <w:r>
              <w:rPr>
                <w:rStyle w:val="VerbatimChar"/>
                <w:sz w:val="16"/>
              </w:rPr>
              <w:t xml:space="preserve">POST</w:t>
            </w:r>
          </w:p>
        </w:tc>
        <w:tc>
          <w:tcPr>
            <w:tcW w:type="dxa" w:w="3816"/>
            <w:vAlign w:val="center"/>
          </w:tcPr>
          <w:p>
            <w:pPr>
              <w:pStyle w:val="Compact"/>
              <w:spacing w:after="20" w:before="0"/>
              <w:jc w:val="left"/>
            </w:pPr>
            <w:r>
              <w:rPr>
                <w:rStyle w:val="VerbatimChar"/>
                <w:sz w:val="16"/>
              </w:rPr>
              <w:t xml:space="preserve">/api/v1/sources</w:t>
            </w:r>
          </w:p>
        </w:tc>
        <w:tc>
          <w:tcPr>
            <w:tcW w:type="dxa" w:w="4565"/>
            <w:vAlign w:val="center"/>
          </w:tcPr>
          <w:p>
            <w:pPr>
              <w:pStyle w:val="Compact"/>
              <w:spacing w:after="20" w:before="0"/>
              <w:jc w:val="left"/>
            </w:pPr>
            <w:r>
              <w:rPr>
                <w:sz w:val="16"/>
              </w:rPr>
              <w:t xml:space="preserve">Create a source; credentials submitted through protected workflow.</w:t>
            </w:r>
          </w:p>
        </w:tc>
      </w:tr>
      <w:tr>
        <w:tc>
          <w:tcPr>
            <w:tcW w:type="dxa" w:w="1152"/>
            <w:vAlign w:val="center"/>
          </w:tcPr>
          <w:p>
            <w:pPr>
              <w:pStyle w:val="Compact"/>
              <w:spacing w:after="20" w:before="0"/>
              <w:jc w:val="left"/>
            </w:pPr>
            <w:r>
              <w:rPr>
                <w:rStyle w:val="VerbatimChar"/>
                <w:sz w:val="16"/>
              </w:rPr>
              <w:t xml:space="preserve">POST</w:t>
            </w:r>
          </w:p>
        </w:tc>
        <w:tc>
          <w:tcPr>
            <w:tcW w:type="dxa" w:w="3816"/>
            <w:vAlign w:val="center"/>
          </w:tcPr>
          <w:p>
            <w:pPr>
              <w:pStyle w:val="Compact"/>
              <w:spacing w:after="20" w:before="0"/>
              <w:jc w:val="left"/>
            </w:pPr>
            <w:r>
              <w:rPr>
                <w:rStyle w:val="VerbatimChar"/>
                <w:sz w:val="16"/>
              </w:rPr>
              <w:t xml:space="preserve">/api/v1/sources/{id}/probe</w:t>
            </w:r>
          </w:p>
        </w:tc>
        <w:tc>
          <w:tcPr>
            <w:tcW w:type="dxa" w:w="4565"/>
            <w:vAlign w:val="center"/>
          </w:tcPr>
          <w:p>
            <w:pPr>
              <w:pStyle w:val="Compact"/>
              <w:spacing w:after="20" w:before="0"/>
              <w:jc w:val="left"/>
            </w:pPr>
            <w:r>
              <w:rPr>
                <w:sz w:val="16"/>
              </w:rPr>
              <w:t xml:space="preserve">Test and report capabilities.</w:t>
            </w:r>
          </w:p>
        </w:tc>
      </w:tr>
      <w:tr>
        <w:tc>
          <w:tcPr>
            <w:tcW w:type="dxa" w:w="1152"/>
            <w:vAlign w:val="center"/>
          </w:tcPr>
          <w:p>
            <w:pPr>
              <w:pStyle w:val="Compact"/>
              <w:spacing w:after="20" w:before="0"/>
              <w:jc w:val="left"/>
            </w:pPr>
            <w:r>
              <w:rPr>
                <w:rStyle w:val="VerbatimChar"/>
                <w:sz w:val="16"/>
              </w:rPr>
              <w:t xml:space="preserve">POST</w:t>
            </w:r>
          </w:p>
        </w:tc>
        <w:tc>
          <w:tcPr>
            <w:tcW w:type="dxa" w:w="3816"/>
            <w:vAlign w:val="center"/>
          </w:tcPr>
          <w:p>
            <w:pPr>
              <w:pStyle w:val="Compact"/>
              <w:spacing w:after="20" w:before="0"/>
              <w:jc w:val="left"/>
            </w:pPr>
            <w:r>
              <w:rPr>
                <w:rStyle w:val="VerbatimChar"/>
                <w:sz w:val="16"/>
              </w:rPr>
              <w:t xml:space="preserve">/api/v1/queries</w:t>
            </w:r>
          </w:p>
        </w:tc>
        <w:tc>
          <w:tcPr>
            <w:tcW w:type="dxa" w:w="4565"/>
            <w:vAlign w:val="center"/>
          </w:tcPr>
          <w:p>
            <w:pPr>
              <w:pStyle w:val="Compact"/>
              <w:spacing w:after="20" w:before="0"/>
              <w:jc w:val="left"/>
            </w:pPr>
            <w:r>
              <w:rPr>
                <w:sz w:val="16"/>
              </w:rPr>
              <w:t xml:space="preserve">Create a query and first immutable version.</w:t>
            </w:r>
          </w:p>
        </w:tc>
      </w:tr>
      <w:tr>
        <w:tc>
          <w:tcPr>
            <w:tcW w:type="dxa" w:w="1152"/>
            <w:vAlign w:val="center"/>
          </w:tcPr>
          <w:p>
            <w:pPr>
              <w:pStyle w:val="Compact"/>
              <w:spacing w:after="20" w:before="0"/>
              <w:jc w:val="left"/>
            </w:pPr>
            <w:r>
              <w:rPr>
                <w:rStyle w:val="VerbatimChar"/>
                <w:sz w:val="16"/>
              </w:rPr>
              <w:t xml:space="preserve">POST</w:t>
            </w:r>
          </w:p>
        </w:tc>
        <w:tc>
          <w:tcPr>
            <w:tcW w:type="dxa" w:w="3816"/>
            <w:vAlign w:val="center"/>
          </w:tcPr>
          <w:p>
            <w:pPr>
              <w:pStyle w:val="Compact"/>
              <w:spacing w:after="20" w:before="0"/>
              <w:jc w:val="left"/>
            </w:pPr>
            <w:r>
              <w:rPr>
                <w:rStyle w:val="VerbatimChar"/>
                <w:sz w:val="16"/>
              </w:rPr>
              <w:t xml:space="preserve">/api/v1/queries/{id}/test</w:t>
            </w:r>
          </w:p>
        </w:tc>
        <w:tc>
          <w:tcPr>
            <w:tcW w:type="dxa" w:w="4565"/>
            <w:vAlign w:val="center"/>
          </w:tcPr>
          <w:p>
            <w:pPr>
              <w:pStyle w:val="Compact"/>
              <w:spacing w:after="20" w:before="0"/>
              <w:jc w:val="left"/>
            </w:pPr>
            <w:r>
              <w:rPr>
                <w:sz w:val="16"/>
              </w:rPr>
              <w:t xml:space="preserve">One-shot image-based evaluation with diagnostic detail.</w:t>
            </w:r>
          </w:p>
        </w:tc>
      </w:tr>
      <w:tr>
        <w:tc>
          <w:tcPr>
            <w:tcW w:type="dxa" w:w="1152"/>
            <w:vAlign w:val="center"/>
          </w:tcPr>
          <w:p>
            <w:pPr>
              <w:pStyle w:val="Compact"/>
              <w:spacing w:after="20" w:before="0"/>
              <w:jc w:val="left"/>
            </w:pPr>
            <w:r>
              <w:rPr>
                <w:rStyle w:val="VerbatimChar"/>
                <w:sz w:val="16"/>
              </w:rPr>
              <w:t xml:space="preserve">GET</w:t>
            </w:r>
          </w:p>
        </w:tc>
        <w:tc>
          <w:tcPr>
            <w:tcW w:type="dxa" w:w="3816"/>
            <w:vAlign w:val="center"/>
          </w:tcPr>
          <w:p>
            <w:pPr>
              <w:pStyle w:val="Compact"/>
              <w:spacing w:after="20" w:before="0"/>
              <w:jc w:val="left"/>
            </w:pPr>
            <w:r>
              <w:rPr>
                <w:rStyle w:val="VerbatimChar"/>
                <w:sz w:val="16"/>
              </w:rPr>
              <w:t xml:space="preserve">/api/v1/observations</w:t>
            </w:r>
          </w:p>
        </w:tc>
        <w:tc>
          <w:tcPr>
            <w:tcW w:type="dxa" w:w="4565"/>
            <w:vAlign w:val="center"/>
          </w:tcPr>
          <w:p>
            <w:pPr>
              <w:pStyle w:val="Compact"/>
              <w:spacing w:after="20" w:before="0"/>
              <w:jc w:val="left"/>
            </w:pPr>
            <w:r>
              <w:rPr>
                <w:sz w:val="16"/>
              </w:rPr>
              <w:t xml:space="preserve">Paged authorised observation history.</w:t>
            </w:r>
          </w:p>
        </w:tc>
      </w:tr>
      <w:tr>
        <w:tc>
          <w:tcPr>
            <w:tcW w:type="dxa" w:w="1152"/>
            <w:vAlign w:val="center"/>
          </w:tcPr>
          <w:p>
            <w:pPr>
              <w:pStyle w:val="Compact"/>
              <w:spacing w:after="20" w:before="0"/>
              <w:jc w:val="left"/>
            </w:pPr>
            <w:r>
              <w:rPr>
                <w:rStyle w:val="VerbatimChar"/>
                <w:sz w:val="16"/>
              </w:rPr>
              <w:t xml:space="preserve">GET</w:t>
            </w:r>
          </w:p>
        </w:tc>
        <w:tc>
          <w:tcPr>
            <w:tcW w:type="dxa" w:w="3816"/>
            <w:vAlign w:val="center"/>
          </w:tcPr>
          <w:p>
            <w:pPr>
              <w:pStyle w:val="Compact"/>
              <w:spacing w:after="20" w:before="0"/>
              <w:jc w:val="left"/>
            </w:pPr>
            <w:r>
              <w:rPr>
                <w:rStyle w:val="VerbatimChar"/>
                <w:sz w:val="16"/>
              </w:rPr>
              <w:t xml:space="preserve">/api/v1/events</w:t>
            </w:r>
          </w:p>
        </w:tc>
        <w:tc>
          <w:tcPr>
            <w:tcW w:type="dxa" w:w="4565"/>
            <w:vAlign w:val="center"/>
          </w:tcPr>
          <w:p>
            <w:pPr>
              <w:pStyle w:val="Compact"/>
              <w:spacing w:after="20" w:before="0"/>
              <w:jc w:val="left"/>
            </w:pPr>
            <w:r>
              <w:rPr>
                <w:sz w:val="16"/>
              </w:rPr>
              <w:t xml:space="preserve">Filtered episodes and transitions.</w:t>
            </w:r>
          </w:p>
        </w:tc>
      </w:tr>
      <w:tr>
        <w:tc>
          <w:tcPr>
            <w:tcW w:type="dxa" w:w="1152"/>
            <w:vAlign w:val="center"/>
          </w:tcPr>
          <w:p>
            <w:pPr>
              <w:pStyle w:val="Compact"/>
              <w:spacing w:after="20" w:before="0"/>
              <w:jc w:val="left"/>
            </w:pPr>
            <w:r>
              <w:rPr>
                <w:rStyle w:val="VerbatimChar"/>
                <w:sz w:val="16"/>
              </w:rPr>
              <w:t xml:space="preserve">GET</w:t>
            </w:r>
          </w:p>
        </w:tc>
        <w:tc>
          <w:tcPr>
            <w:tcW w:type="dxa" w:w="3816"/>
            <w:vAlign w:val="center"/>
          </w:tcPr>
          <w:p>
            <w:pPr>
              <w:pStyle w:val="Compact"/>
              <w:spacing w:after="20" w:before="0"/>
              <w:jc w:val="left"/>
            </w:pPr>
            <w:r>
              <w:rPr>
                <w:rStyle w:val="VerbatimChar"/>
                <w:sz w:val="16"/>
              </w:rPr>
              <w:t xml:space="preserve">/api/v1/metrics</w:t>
            </w:r>
          </w:p>
        </w:tc>
        <w:tc>
          <w:tcPr>
            <w:tcW w:type="dxa" w:w="4565"/>
            <w:vAlign w:val="center"/>
          </w:tcPr>
          <w:p>
            <w:pPr>
              <w:pStyle w:val="Compact"/>
              <w:spacing w:after="20" w:before="0"/>
              <w:jc w:val="left"/>
            </w:pPr>
            <w:r>
              <w:rPr>
                <w:sz w:val="16"/>
              </w:rPr>
              <w:t xml:space="preserve">Time-bucketed measures and coverage.</w:t>
            </w:r>
          </w:p>
        </w:tc>
      </w:tr>
      <w:tr>
        <w:tc>
          <w:tcPr>
            <w:tcW w:type="dxa" w:w="1152"/>
            <w:vAlign w:val="center"/>
          </w:tcPr>
          <w:p>
            <w:pPr>
              <w:pStyle w:val="Compact"/>
              <w:spacing w:after="20" w:before="0"/>
              <w:jc w:val="left"/>
            </w:pPr>
            <w:r>
              <w:rPr>
                <w:rStyle w:val="VerbatimChar"/>
                <w:sz w:val="16"/>
              </w:rPr>
              <w:t xml:space="preserve">GET</w:t>
            </w:r>
          </w:p>
        </w:tc>
        <w:tc>
          <w:tcPr>
            <w:tcW w:type="dxa" w:w="3816"/>
            <w:vAlign w:val="center"/>
          </w:tcPr>
          <w:p>
            <w:pPr>
              <w:pStyle w:val="Compact"/>
              <w:spacing w:after="20" w:before="0"/>
              <w:jc w:val="left"/>
            </w:pPr>
            <w:r>
              <w:rPr>
                <w:rStyle w:val="VerbatimChar"/>
                <w:sz w:val="16"/>
              </w:rPr>
              <w:t xml:space="preserve">/api/v1/evidence/{id}</w:t>
            </w:r>
          </w:p>
        </w:tc>
        <w:tc>
          <w:tcPr>
            <w:tcW w:type="dxa" w:w="4565"/>
            <w:vAlign w:val="center"/>
          </w:tcPr>
          <w:p>
            <w:pPr>
              <w:pStyle w:val="Compact"/>
              <w:spacing w:after="20" w:before="0"/>
              <w:jc w:val="left"/>
            </w:pPr>
            <w:r>
              <w:rPr>
                <w:sz w:val="16"/>
              </w:rPr>
              <w:t xml:space="preserve">Authorised retained image reference/content.</w:t>
            </w:r>
          </w:p>
        </w:tc>
      </w:tr>
      <w:tr>
        <w:tc>
          <w:tcPr>
            <w:tcW w:type="dxa" w:w="1152"/>
            <w:vAlign w:val="center"/>
          </w:tcPr>
          <w:p>
            <w:pPr>
              <w:pStyle w:val="Compact"/>
              <w:spacing w:after="20" w:before="0"/>
              <w:jc w:val="left"/>
            </w:pPr>
            <w:r>
              <w:rPr>
                <w:rStyle w:val="VerbatimChar"/>
                <w:sz w:val="16"/>
              </w:rPr>
              <w:t xml:space="preserve">GET</w:t>
            </w:r>
          </w:p>
        </w:tc>
        <w:tc>
          <w:tcPr>
            <w:tcW w:type="dxa" w:w="3816"/>
            <w:vAlign w:val="center"/>
          </w:tcPr>
          <w:p>
            <w:pPr>
              <w:pStyle w:val="Compact"/>
              <w:spacing w:after="20" w:before="0"/>
              <w:jc w:val="left"/>
            </w:pPr>
            <w:r>
              <w:rPr>
                <w:rStyle w:val="VerbatimChar"/>
                <w:sz w:val="16"/>
              </w:rPr>
              <w:t xml:space="preserve">/api/v1/health</w:t>
            </w:r>
          </w:p>
        </w:tc>
        <w:tc>
          <w:tcPr>
            <w:tcW w:type="dxa" w:w="4565"/>
            <w:vAlign w:val="center"/>
          </w:tcPr>
          <w:p>
            <w:pPr>
              <w:pStyle w:val="Compact"/>
              <w:spacing w:after="20" w:before="0"/>
              <w:jc w:val="left"/>
            </w:pPr>
            <w:r>
              <w:rPr>
                <w:sz w:val="16"/>
              </w:rPr>
              <w:t xml:space="preserve">Overall application readiness.</w:t>
            </w:r>
          </w:p>
        </w:tc>
      </w:tr>
    </w:tbl>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server-room-a</w:t>
      </w:r>
      <w:r>
        <w:br/>
      </w:r>
      <w:r>
        <w:rPr>
          <w:rStyle w:val="AttributeTok"/>
        </w:rPr>
        <w:t xml:space="preserve">  </w:t>
      </w:r>
      <w:r>
        <w:rPr>
          <w:rStyle w:val="FunctionTok"/>
        </w:rPr>
        <w:t xml:space="preserve">type</w:t>
      </w:r>
      <w:r>
        <w:rPr>
          <w:rStyle w:val="KeywordTok"/>
        </w:rPr>
        <w:t xml:space="preserve">:</w:t>
      </w:r>
      <w:r>
        <w:rPr>
          <w:rStyle w:val="AttributeTok"/>
        </w:rPr>
        <w:t xml:space="preserve"> rtsp</w:t>
      </w:r>
      <w:r>
        <w:br/>
      </w:r>
      <w:r>
        <w:rPr>
          <w:rStyle w:val="AttributeTok"/>
        </w:rPr>
        <w:t xml:space="preserve">  </w:t>
      </w:r>
      <w:r>
        <w:rPr>
          <w:rStyle w:val="FunctionTok"/>
        </w:rPr>
        <w:t xml:space="preserve">endpoint_ref</w:t>
      </w:r>
      <w:r>
        <w:rPr>
          <w:rStyle w:val="KeywordTok"/>
        </w:rPr>
        <w:t xml:space="preserve">:</w:t>
      </w:r>
      <w:r>
        <w:rPr>
          <w:rStyle w:val="AttributeTok"/>
        </w:rPr>
        <w:t xml:space="preserve"> secret://camera/server-room-a</w:t>
      </w:r>
      <w:r>
        <w:br/>
      </w:r>
      <w:r>
        <w:rPr>
          <w:rStyle w:val="AttributeTok"/>
        </w:rPr>
        <w:t xml:space="preserve">  </w:t>
      </w:r>
      <w:r>
        <w:rPr>
          <w:rStyle w:val="FunctionTok"/>
        </w:rPr>
        <w:t xml:space="preserve">sample_interval_seconds</w:t>
      </w:r>
      <w:r>
        <w:rPr>
          <w:rStyle w:val="KeywordTok"/>
        </w:rPr>
        <w:t xml:space="preserve">:</w:t>
      </w:r>
      <w:r>
        <w:rPr>
          <w:rStyle w:val="AttributeTok"/>
        </w:rPr>
        <w:t xml:space="preserve"> </w:t>
      </w:r>
      <w:r>
        <w:rPr>
          <w:rStyle w:val="DecValTok"/>
        </w:rPr>
        <w:t xml:space="preserve">15</w:t>
      </w:r>
      <w:r>
        <w:br/>
      </w:r>
      <w:r>
        <w:rPr>
          <w:rStyle w:val="FunctionTok"/>
        </w:rPr>
        <w:t xml:space="preserve">query</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under-rack-water</w:t>
      </w:r>
      <w:r>
        <w:br/>
      </w:r>
      <w:r>
        <w:rPr>
          <w:rStyle w:val="AttributeTok"/>
        </w:rPr>
        <w:t xml:space="preserve">  </w:t>
      </w:r>
      <w:r>
        <w:rPr>
          <w:rStyle w:val="FunctionTok"/>
        </w:rPr>
        <w:t xml:space="preserve">source_id</w:t>
      </w:r>
      <w:r>
        <w:rPr>
          <w:rStyle w:val="KeywordTok"/>
        </w:rPr>
        <w:t xml:space="preserve">:</w:t>
      </w:r>
      <w:r>
        <w:rPr>
          <w:rStyle w:val="AttributeTok"/>
        </w:rPr>
        <w:t xml:space="preserve"> server-room-a</w:t>
      </w:r>
      <w:r>
        <w:br/>
      </w:r>
      <w:r>
        <w:rPr>
          <w:rStyle w:val="AttributeTok"/>
        </w:rPr>
        <w:t xml:space="preserve">  </w:t>
      </w:r>
      <w:r>
        <w:rPr>
          <w:rStyle w:val="FunctionTok"/>
        </w:rPr>
        <w:t xml:space="preserve">question</w:t>
      </w:r>
      <w:r>
        <w:rPr>
          <w:rStyle w:val="KeywordTok"/>
        </w:rPr>
        <w:t xml:space="preserve">:</w:t>
      </w:r>
      <w:r>
        <w:rPr>
          <w:rStyle w:val="AttributeTok"/>
        </w:rPr>
        <w:t xml:space="preserve"> </w:t>
      </w:r>
      <w:r>
        <w:rPr>
          <w:rStyle w:val="StringTok"/>
        </w:rPr>
        <w:t xml:space="preserve">"Is visible standing water present in the marked floor region?"</w:t>
      </w:r>
      <w:r>
        <w:br/>
      </w:r>
      <w:r>
        <w:rPr>
          <w:rStyle w:val="AttributeTok"/>
        </w:rPr>
        <w:t xml:space="preserve">  </w:t>
      </w:r>
      <w:r>
        <w:rPr>
          <w:rStyle w:val="FunctionTok"/>
        </w:rPr>
        <w:t xml:space="preserve">answer_kind</w:t>
      </w:r>
      <w:r>
        <w:rPr>
          <w:rStyle w:val="KeywordTok"/>
        </w:rPr>
        <w:t xml:space="preserve">:</w:t>
      </w:r>
      <w:r>
        <w:rPr>
          <w:rStyle w:val="AttributeTok"/>
        </w:rPr>
        <w:t xml:space="preserve"> binary</w:t>
      </w:r>
      <w:r>
        <w:br/>
      </w:r>
      <w:r>
        <w:rPr>
          <w:rStyle w:val="AttributeTok"/>
        </w:rPr>
        <w:t xml:space="preserve">  </w:t>
      </w:r>
      <w:r>
        <w:rPr>
          <w:rStyle w:val="FunctionTok"/>
        </w:rPr>
        <w:t xml:space="preserve">roi</w:t>
      </w:r>
      <w:r>
        <w:rPr>
          <w:rStyle w:val="KeywordTok"/>
        </w:rPr>
        <w:t xml:space="preserve">:</w:t>
      </w:r>
      <w:r>
        <w:rPr>
          <w:rStyle w:val="AttributeTok"/>
        </w:rPr>
        <w:t xml:space="preserve"> </w:t>
      </w:r>
      <w:r>
        <w:rPr>
          <w:rStyle w:val="KeywordTok"/>
        </w:rPr>
        <w:t xml:space="preserve">{</w:t>
      </w:r>
      <w:r>
        <w:rPr>
          <w:rStyle w:val="FunctionTok"/>
        </w:rPr>
        <w:t xml:space="preserve">x</w:t>
      </w:r>
      <w:r>
        <w:rPr>
          <w:rStyle w:val="KeywordTok"/>
        </w:rPr>
        <w:t xml:space="preserve">:</w:t>
      </w:r>
      <w:r>
        <w:rPr>
          <w:rStyle w:val="AttributeTok"/>
        </w:rPr>
        <w:t xml:space="preserve"> </w:t>
      </w:r>
      <w:r>
        <w:rPr>
          <w:rStyle w:val="FloatTok"/>
        </w:rPr>
        <w:t xml:space="preserve">0.10</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0.64</w:t>
      </w:r>
      <w:r>
        <w:rPr>
          <w:rStyle w:val="KeywordTok"/>
        </w:rPr>
        <w:t xml:space="preserve">,</w:t>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FloatTok"/>
        </w:rPr>
        <w:t xml:space="preserve">0.55</w:t>
      </w:r>
      <w:r>
        <w:rPr>
          <w:rStyle w:val="KeywordTok"/>
        </w:rPr>
        <w:t xml:space="preserve">,</w:t>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FloatTok"/>
        </w:rPr>
        <w:t xml:space="preserve">0.28</w:t>
      </w:r>
      <w:r>
        <w:rPr>
          <w:rStyle w:val="KeywordTok"/>
        </w:rPr>
        <w:t xml:space="preserv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0.85</w:t>
      </w:r>
      <w:r>
        <w:br/>
      </w:r>
      <w:r>
        <w:rPr>
          <w:rStyle w:val="AttributeTok"/>
        </w:rPr>
        <w:t xml:space="preserve">  </w:t>
      </w:r>
      <w:r>
        <w:rPr>
          <w:rStyle w:val="FunctionTok"/>
        </w:rPr>
        <w:t xml:space="preserve">positive_confirmations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negative_confirmations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unknown_policy</w:t>
      </w:r>
      <w:r>
        <w:rPr>
          <w:rStyle w:val="KeywordTok"/>
        </w:rPr>
        <w:t xml:space="preserve">:</w:t>
      </w:r>
      <w:r>
        <w:rPr>
          <w:rStyle w:val="AttributeTok"/>
        </w:rPr>
        <w:t xml:space="preserve"> mark_gap</w:t>
      </w:r>
      <w:r>
        <w:br/>
      </w:r>
      <w:r>
        <w:rPr>
          <w:rStyle w:val="FunctionTok"/>
        </w:rPr>
        <w:t xml:space="preserve">measurements</w:t>
      </w:r>
      <w:r>
        <w:rPr>
          <w:rStyle w:val="KeywordTok"/>
        </w:rPr>
        <w:t xml:space="preserve">:</w:t>
      </w:r>
      <w:r>
        <w:rPr>
          <w:rStyle w:val="AttributeTok"/>
        </w:rPr>
        <w:t xml:space="preserve"> </w:t>
      </w:r>
      <w:r>
        <w:rPr>
          <w:rStyle w:val="KeywordTok"/>
        </w:rPr>
        <w:t xml:space="preserve">[</w:t>
      </w:r>
      <w:r>
        <w:rPr>
          <w:rStyle w:val="AttributeTok"/>
        </w:rPr>
        <w:t xml:space="preserve">episode_count</w:t>
      </w:r>
      <w:r>
        <w:rPr>
          <w:rStyle w:val="KeywordTok"/>
        </w:rPr>
        <w:t xml:space="preserve">,</w:t>
      </w:r>
      <w:r>
        <w:rPr>
          <w:rStyle w:val="AttributeTok"/>
        </w:rPr>
        <w:t xml:space="preserve"> episode_duration</w:t>
      </w:r>
      <w:r>
        <w:rPr>
          <w:rStyle w:val="KeywordTok"/>
        </w:rPr>
        <w:t xml:space="preserve">,</w:t>
      </w:r>
      <w:r>
        <w:rPr>
          <w:rStyle w:val="AttributeTok"/>
        </w:rPr>
        <w:t xml:space="preserve"> frequency_per_day</w:t>
      </w:r>
      <w:r>
        <w:rPr>
          <w:rStyle w:val="KeywordTok"/>
        </w:rPr>
        <w:t xml:space="preserve">]</w:t>
      </w:r>
      <w:r>
        <w:br/>
      </w:r>
      <w:r>
        <w:rPr>
          <w:rStyle w:val="FunctionTok"/>
        </w:rPr>
        <w:t xml:space="preserve">alert</w:t>
      </w:r>
      <w:r>
        <w:rPr>
          <w:rStyle w:val="KeywordTok"/>
        </w:rPr>
        <w:t xml:space="preserve">:</w:t>
      </w:r>
      <w:r>
        <w:br/>
      </w:r>
      <w:r>
        <w:rPr>
          <w:rStyle w:val="AttributeTok"/>
        </w:rPr>
        <w:t xml:space="preserve">  </w:t>
      </w:r>
      <w:r>
        <w:rPr>
          <w:rStyle w:val="FunctionTok"/>
        </w:rPr>
        <w:t xml:space="preserve">when</w:t>
      </w:r>
      <w:r>
        <w:rPr>
          <w:rStyle w:val="KeywordTok"/>
        </w:rPr>
        <w:t xml:space="preserve">:</w:t>
      </w:r>
      <w:r>
        <w:rPr>
          <w:rStyle w:val="AttributeTok"/>
        </w:rPr>
        <w:t xml:space="preserve"> </w:t>
      </w:r>
      <w:r>
        <w:rPr>
          <w:rStyle w:val="StringTok"/>
        </w:rPr>
        <w:t xml:space="preserve">"state == ACTIVE"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action</w:t>
      </w:r>
      <w:r>
        <w:rPr>
          <w:rStyle w:val="KeywordTok"/>
        </w:rPr>
        <w:t xml:space="preserve">:</w:t>
      </w:r>
      <w:r>
        <w:rPr>
          <w:rStyle w:val="AttributeTok"/>
        </w:rPr>
        <w:t xml:space="preserve"> dashboard_notification</w:t>
      </w:r>
    </w:p>
    <w:p>
      <w:pPr>
        <w:pStyle w:val="FirstParagraph"/>
      </w:pPr>
      <w:r>
        <w:t xml:space="preserve">This is illustrative policy configuration, not a safe threshold established by validation. Sample intervals, rules and confidence thresholds must be adjusted to actual installation conditions.</w:t>
      </w:r>
    </w:p>
    <w:bookmarkEnd w:id="86"/>
    <w:bookmarkStart w:id="91" w:name="verification-acceptance-and-traceability"/>
    <w:p>
      <w:pPr>
        <w:pStyle w:val="Heading2"/>
      </w:pPr>
      <w:r>
        <w:t xml:space="preserve">14. Verification, acceptance and traceability</w:t>
      </w:r>
    </w:p>
    <w:bookmarkStart w:id="87" w:name="validation-strategy"/>
    <w:p>
      <w:pPr>
        <w:pStyle w:val="Heading3"/>
      </w:pPr>
      <w:r>
        <w:t xml:space="preserve">14.1 Validation strategy</w:t>
      </w:r>
    </w:p>
    <w:p>
      <w:pPr>
        <w:pStyle w:val="FirstParagraph"/>
      </w:pPr>
      <w:r>
        <w:t xml:space="preserve">Tests shall use versioned synthetic fixtures, authorised camera recordings, deliberately corrupted streams and labelled ground-truth frames. Separate</w:t>
      </w:r>
      <w:r>
        <w:t xml:space="preserve"> </w:t>
      </w:r>
      <w:r>
        <w:rPr>
          <w:b/>
          <w:bCs/>
        </w:rPr>
        <w:t xml:space="preserve">software correctness</w:t>
      </w:r>
      <w:r>
        <w:t xml:space="preserve"> </w:t>
      </w:r>
      <w:r>
        <w:t xml:space="preserve">(state machine, timestamp and storage logic) from</w:t>
      </w:r>
      <w:r>
        <w:t xml:space="preserve"> </w:t>
      </w:r>
      <w:r>
        <w:rPr>
          <w:b/>
          <w:bCs/>
        </w:rPr>
        <w:t xml:space="preserve">model accuracy</w:t>
      </w:r>
      <w:r>
        <w:t xml:space="preserve"> </w:t>
      </w:r>
      <w:r>
        <w:t xml:space="preserve">(whether the image decision is correct). Model accuracy tests must not be hidden behind integration tests alone.</w:t>
      </w:r>
    </w:p>
    <w:bookmarkEnd w:id="87"/>
    <w:bookmarkStart w:id="88" w:name="end-to-end-acceptance-scenarios"/>
    <w:p>
      <w:pPr>
        <w:pStyle w:val="Heading3"/>
      </w:pPr>
      <w:r>
        <w:t xml:space="preserve">14.2 End-to-end acceptance scenarios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2016"/>
        <w:gridCol w:w="2232"/>
        <w:gridCol w:w="5285"/>
      </w:tblGrid>
      <w:tr>
        <w:trPr>
          <w:tblHeader w:val="on"/>
          <w:tblHeader w:val="true"/>
        </w:trPr>
        <w:tc>
          <w:tcPr>
            <w:tcW w:type="dxa" w:w="2016"/>
            <w:vAlign w:val="center"/>
          </w:tcPr>
          <w:p>
            <w:pPr>
              <w:pStyle w:val="Compact"/>
              <w:spacing w:after="20" w:before="0"/>
              <w:jc w:val="left"/>
            </w:pPr>
            <w:r>
              <w:rPr>
                <w:b/>
                <w:sz w:val="16"/>
              </w:rPr>
              <w:t xml:space="preserve">Scenario</w:t>
            </w:r>
          </w:p>
        </w:tc>
        <w:tc>
          <w:tcPr>
            <w:tcW w:type="dxa" w:w="2232"/>
            <w:vAlign w:val="center"/>
          </w:tcPr>
          <w:p>
            <w:pPr>
              <w:pStyle w:val="Compact"/>
              <w:spacing w:after="20" w:before="0"/>
              <w:jc w:val="left"/>
            </w:pPr>
            <w:r>
              <w:rPr>
                <w:b/>
                <w:sz w:val="16"/>
              </w:rPr>
              <w:t xml:space="preserve">Requirements covered</w:t>
            </w:r>
          </w:p>
        </w:tc>
        <w:tc>
          <w:tcPr>
            <w:tcW w:type="dxa" w:w="5285"/>
            <w:vAlign w:val="center"/>
          </w:tcPr>
          <w:p>
            <w:pPr>
              <w:pStyle w:val="Compact"/>
              <w:spacing w:after="20" w:before="0"/>
              <w:jc w:val="left"/>
            </w:pPr>
            <w:r>
              <w:rPr>
                <w:b/>
                <w:sz w:val="16"/>
              </w:rPr>
              <w:t xml:space="preserve">Pass condition</w:t>
            </w:r>
          </w:p>
        </w:tc>
      </w:tr>
      <w:tr>
        <w:tc>
          <w:tcPr>
            <w:tcW w:type="dxa" w:w="2016"/>
            <w:vAlign w:val="center"/>
          </w:tcPr>
          <w:p>
            <w:pPr>
              <w:pStyle w:val="Compact"/>
              <w:spacing w:after="20" w:before="0"/>
              <w:jc w:val="left"/>
            </w:pPr>
            <w:r>
              <w:rPr>
                <w:sz w:val="16"/>
              </w:rPr>
              <w:t xml:space="preserve">AT-01: Single USB camera</w:t>
            </w:r>
          </w:p>
        </w:tc>
        <w:tc>
          <w:tcPr>
            <w:tcW w:type="dxa" w:w="2232"/>
            <w:vAlign w:val="center"/>
          </w:tcPr>
          <w:p>
            <w:pPr>
              <w:pStyle w:val="Compact"/>
              <w:spacing w:after="20" w:before="0"/>
              <w:jc w:val="left"/>
            </w:pPr>
            <w:r>
              <w:rPr>
                <w:sz w:val="16"/>
              </w:rPr>
              <w:t xml:space="preserve">INP-004, QRY-002, INF-002, UI-003</w:t>
            </w:r>
          </w:p>
        </w:tc>
        <w:tc>
          <w:tcPr>
            <w:tcW w:type="dxa" w:w="5285"/>
            <w:vAlign w:val="center"/>
          </w:tcPr>
          <w:p>
            <w:pPr>
              <w:pStyle w:val="Compact"/>
              <w:spacing w:after="20" w:before="0"/>
              <w:jc w:val="left"/>
            </w:pPr>
            <w:r>
              <w:rPr>
                <w:sz w:val="16"/>
              </w:rPr>
              <w:t xml:space="preserve">Local capture → decision → stored result → visible dashboard status.</w:t>
            </w:r>
          </w:p>
        </w:tc>
      </w:tr>
      <w:tr>
        <w:tc>
          <w:tcPr>
            <w:tcW w:type="dxa" w:w="2016"/>
            <w:vAlign w:val="center"/>
          </w:tcPr>
          <w:p>
            <w:pPr>
              <w:pStyle w:val="Compact"/>
              <w:spacing w:after="20" w:before="0"/>
              <w:jc w:val="left"/>
            </w:pPr>
            <w:r>
              <w:rPr>
                <w:sz w:val="16"/>
              </w:rPr>
              <w:t xml:space="preserve">AT-02: Tapo/RTSP source</w:t>
            </w:r>
          </w:p>
        </w:tc>
        <w:tc>
          <w:tcPr>
            <w:tcW w:type="dxa" w:w="2232"/>
            <w:vAlign w:val="center"/>
          </w:tcPr>
          <w:p>
            <w:pPr>
              <w:pStyle w:val="Compact"/>
              <w:spacing w:after="20" w:before="0"/>
              <w:jc w:val="left"/>
            </w:pPr>
            <w:r>
              <w:rPr>
                <w:sz w:val="16"/>
              </w:rPr>
              <w:t xml:space="preserve">INP-002, INP-006, INP-008</w:t>
            </w:r>
          </w:p>
        </w:tc>
        <w:tc>
          <w:tcPr>
            <w:tcW w:type="dxa" w:w="5285"/>
            <w:vAlign w:val="center"/>
          </w:tcPr>
          <w:p>
            <w:pPr>
              <w:pStyle w:val="Compact"/>
              <w:spacing w:after="20" w:before="0"/>
              <w:jc w:val="left"/>
            </w:pPr>
            <w:r>
              <w:rPr>
                <w:sz w:val="16"/>
              </w:rPr>
              <w:t xml:space="preserve">Connect supported source, record a sample, disconnect, show UNKNOWN/health error.</w:t>
            </w:r>
          </w:p>
        </w:tc>
      </w:tr>
      <w:tr>
        <w:tc>
          <w:tcPr>
            <w:tcW w:type="dxa" w:w="2016"/>
            <w:vAlign w:val="center"/>
          </w:tcPr>
          <w:p>
            <w:pPr>
              <w:pStyle w:val="Compact"/>
              <w:spacing w:after="20" w:before="0"/>
              <w:jc w:val="left"/>
            </w:pPr>
            <w:r>
              <w:rPr>
                <w:sz w:val="16"/>
              </w:rPr>
              <w:t xml:space="preserve">AT-03: Many questions, one image</w:t>
            </w:r>
          </w:p>
        </w:tc>
        <w:tc>
          <w:tcPr>
            <w:tcW w:type="dxa" w:w="2232"/>
            <w:vAlign w:val="center"/>
          </w:tcPr>
          <w:p>
            <w:pPr>
              <w:pStyle w:val="Compact"/>
              <w:spacing w:after="20" w:before="0"/>
              <w:jc w:val="left"/>
            </w:pPr>
            <w:r>
              <w:rPr>
                <w:sz w:val="16"/>
              </w:rPr>
              <w:t xml:space="preserve">QRY-001, INF-003, INF-005</w:t>
            </w:r>
          </w:p>
        </w:tc>
        <w:tc>
          <w:tcPr>
            <w:tcW w:type="dxa" w:w="5285"/>
            <w:vAlign w:val="center"/>
          </w:tcPr>
          <w:p>
            <w:pPr>
              <w:pStyle w:val="Compact"/>
              <w:spacing w:after="20" w:before="0"/>
              <w:jc w:val="left"/>
            </w:pPr>
            <w:r>
              <w:rPr>
                <w:sz w:val="16"/>
              </w:rPr>
              <w:t xml:space="preserve">Multiple results share a frame ID and maintain separate query provenance.</w:t>
            </w:r>
          </w:p>
        </w:tc>
      </w:tr>
      <w:tr>
        <w:tc>
          <w:tcPr>
            <w:tcW w:type="dxa" w:w="2016"/>
            <w:vAlign w:val="center"/>
          </w:tcPr>
          <w:p>
            <w:pPr>
              <w:pStyle w:val="Compact"/>
              <w:spacing w:after="20" w:before="0"/>
              <w:jc w:val="left"/>
            </w:pPr>
            <w:r>
              <w:rPr>
                <w:sz w:val="16"/>
              </w:rPr>
              <w:t xml:space="preserve">AT-04: Open cabinet episode</w:t>
            </w:r>
          </w:p>
        </w:tc>
        <w:tc>
          <w:tcPr>
            <w:tcW w:type="dxa" w:w="2232"/>
            <w:vAlign w:val="center"/>
          </w:tcPr>
          <w:p>
            <w:pPr>
              <w:pStyle w:val="Compact"/>
              <w:spacing w:after="20" w:before="0"/>
              <w:jc w:val="left"/>
            </w:pPr>
            <w:r>
              <w:rPr>
                <w:sz w:val="16"/>
              </w:rPr>
              <w:t xml:space="preserve">MET-002–MET-004, EVT-001</w:t>
            </w:r>
          </w:p>
        </w:tc>
        <w:tc>
          <w:tcPr>
            <w:tcW w:type="dxa" w:w="5285"/>
            <w:vAlign w:val="center"/>
          </w:tcPr>
          <w:p>
            <w:pPr>
              <w:pStyle w:val="Compact"/>
              <w:spacing w:after="20" w:before="0"/>
              <w:jc w:val="left"/>
            </w:pPr>
            <w:r>
              <w:rPr>
                <w:sz w:val="16"/>
              </w:rPr>
              <w:t xml:space="preserve">Positive persistence opens exactly one episode; confirmed closure ends it.</w:t>
            </w:r>
          </w:p>
        </w:tc>
      </w:tr>
      <w:tr>
        <w:tc>
          <w:tcPr>
            <w:tcW w:type="dxa" w:w="2016"/>
            <w:vAlign w:val="center"/>
          </w:tcPr>
          <w:p>
            <w:pPr>
              <w:pStyle w:val="Compact"/>
              <w:spacing w:after="20" w:before="0"/>
              <w:jc w:val="left"/>
            </w:pPr>
            <w:r>
              <w:rPr>
                <w:sz w:val="16"/>
              </w:rPr>
              <w:t xml:space="preserve">AT-05: Camera disconnect while active</w:t>
            </w:r>
          </w:p>
        </w:tc>
        <w:tc>
          <w:tcPr>
            <w:tcW w:type="dxa" w:w="2232"/>
            <w:vAlign w:val="center"/>
          </w:tcPr>
          <w:p>
            <w:pPr>
              <w:pStyle w:val="Compact"/>
              <w:spacing w:after="20" w:before="0"/>
              <w:jc w:val="left"/>
            </w:pPr>
            <w:r>
              <w:rPr>
                <w:sz w:val="16"/>
              </w:rPr>
              <w:t xml:space="preserve">INP-008, MET-010, EVT-008</w:t>
            </w:r>
          </w:p>
        </w:tc>
        <w:tc>
          <w:tcPr>
            <w:tcW w:type="dxa" w:w="5285"/>
            <w:vAlign w:val="center"/>
          </w:tcPr>
          <w:p>
            <w:pPr>
              <w:pStyle w:val="Compact"/>
              <w:spacing w:after="20" w:before="0"/>
              <w:jc w:val="left"/>
            </w:pPr>
            <w:r>
              <w:rPr>
                <w:sz w:val="16"/>
              </w:rPr>
              <w:t xml:space="preserve">Unknown gap recorded; no fabricated negative or closed event.</w:t>
            </w:r>
          </w:p>
        </w:tc>
      </w:tr>
      <w:tr>
        <w:tc>
          <w:tcPr>
            <w:tcW w:type="dxa" w:w="2016"/>
            <w:vAlign w:val="center"/>
          </w:tcPr>
          <w:p>
            <w:pPr>
              <w:pStyle w:val="Compact"/>
              <w:spacing w:after="20" w:before="0"/>
              <w:jc w:val="left"/>
            </w:pPr>
            <w:r>
              <w:rPr>
                <w:sz w:val="16"/>
              </w:rPr>
              <w:t xml:space="preserve">AT-06: Timezone/DST</w:t>
            </w:r>
          </w:p>
        </w:tc>
        <w:tc>
          <w:tcPr>
            <w:tcW w:type="dxa" w:w="2232"/>
            <w:vAlign w:val="center"/>
          </w:tcPr>
          <w:p>
            <w:pPr>
              <w:pStyle w:val="Compact"/>
              <w:spacing w:after="20" w:before="0"/>
              <w:jc w:val="left"/>
            </w:pPr>
            <w:r>
              <w:rPr>
                <w:sz w:val="16"/>
              </w:rPr>
              <w:t xml:space="preserve">MET-009, NFR-005</w:t>
            </w:r>
          </w:p>
        </w:tc>
        <w:tc>
          <w:tcPr>
            <w:tcW w:type="dxa" w:w="5285"/>
            <w:vAlign w:val="center"/>
          </w:tcPr>
          <w:p>
            <w:pPr>
              <w:pStyle w:val="Compact"/>
              <w:spacing w:after="20" w:before="0"/>
              <w:jc w:val="left"/>
            </w:pPr>
            <w:r>
              <w:rPr>
                <w:sz w:val="16"/>
              </w:rPr>
              <w:t xml:space="preserve">UTC values unchanged and local charts correctly represent clock change.</w:t>
            </w:r>
          </w:p>
        </w:tc>
      </w:tr>
      <w:tr>
        <w:tc>
          <w:tcPr>
            <w:tcW w:type="dxa" w:w="2016"/>
            <w:vAlign w:val="center"/>
          </w:tcPr>
          <w:p>
            <w:pPr>
              <w:pStyle w:val="Compact"/>
              <w:spacing w:after="20" w:before="0"/>
              <w:jc w:val="left"/>
            </w:pPr>
            <w:r>
              <w:rPr>
                <w:sz w:val="16"/>
              </w:rPr>
              <w:t xml:space="preserve">AT-07: Retention/permission</w:t>
            </w:r>
          </w:p>
        </w:tc>
        <w:tc>
          <w:tcPr>
            <w:tcW w:type="dxa" w:w="2232"/>
            <w:vAlign w:val="center"/>
          </w:tcPr>
          <w:p>
            <w:pPr>
              <w:pStyle w:val="Compact"/>
              <w:spacing w:after="20" w:before="0"/>
              <w:jc w:val="left"/>
            </w:pPr>
            <w:r>
              <w:rPr>
                <w:sz w:val="16"/>
              </w:rPr>
              <w:t xml:space="preserve">INP-011, UI-005, NFR-010, SEC controls</w:t>
            </w:r>
          </w:p>
        </w:tc>
        <w:tc>
          <w:tcPr>
            <w:tcW w:type="dxa" w:w="5285"/>
            <w:vAlign w:val="center"/>
          </w:tcPr>
          <w:p>
            <w:pPr>
              <w:pStyle w:val="Compact"/>
              <w:spacing w:after="20" w:before="0"/>
              <w:jc w:val="left"/>
            </w:pPr>
            <w:r>
              <w:rPr>
                <w:sz w:val="16"/>
              </w:rPr>
              <w:t xml:space="preserve">Viewer cannot access restricted evidence; deleted files are not still reachable.</w:t>
            </w:r>
          </w:p>
        </w:tc>
      </w:tr>
      <w:tr>
        <w:tc>
          <w:tcPr>
            <w:tcW w:type="dxa" w:w="2016"/>
            <w:vAlign w:val="center"/>
          </w:tcPr>
          <w:p>
            <w:pPr>
              <w:pStyle w:val="Compact"/>
              <w:spacing w:after="20" w:before="0"/>
              <w:jc w:val="left"/>
            </w:pPr>
            <w:r>
              <w:rPr>
                <w:sz w:val="16"/>
              </w:rPr>
              <w:t xml:space="preserve">AT-08: Processing overload</w:t>
            </w:r>
          </w:p>
        </w:tc>
        <w:tc>
          <w:tcPr>
            <w:tcW w:type="dxa" w:w="2232"/>
            <w:vAlign w:val="center"/>
          </w:tcPr>
          <w:p>
            <w:pPr>
              <w:pStyle w:val="Compact"/>
              <w:spacing w:after="20" w:before="0"/>
              <w:jc w:val="left"/>
            </w:pPr>
            <w:r>
              <w:rPr>
                <w:sz w:val="16"/>
              </w:rPr>
              <w:t xml:space="preserve">INF-006, NFR-002–003</w:t>
            </w:r>
          </w:p>
        </w:tc>
        <w:tc>
          <w:tcPr>
            <w:tcW w:type="dxa" w:w="5285"/>
            <w:vAlign w:val="center"/>
          </w:tcPr>
          <w:p>
            <w:pPr>
              <w:pStyle w:val="Compact"/>
              <w:spacing w:after="20" w:before="0"/>
              <w:jc w:val="left"/>
            </w:pPr>
            <w:r>
              <w:rPr>
                <w:sz w:val="16"/>
              </w:rPr>
              <w:t xml:space="preserve">Bounded memory/queue, stale-frame counts and service responsiveness remain.</w:t>
            </w:r>
          </w:p>
        </w:tc>
      </w:tr>
      <w:tr>
        <w:tc>
          <w:tcPr>
            <w:tcW w:type="dxa" w:w="2016"/>
            <w:vAlign w:val="center"/>
          </w:tcPr>
          <w:p>
            <w:pPr>
              <w:pStyle w:val="Compact"/>
              <w:spacing w:after="20" w:before="0"/>
              <w:jc w:val="left"/>
            </w:pPr>
            <w:r>
              <w:rPr>
                <w:sz w:val="16"/>
              </w:rPr>
              <w:t xml:space="preserve">AT-09: Restart/replay</w:t>
            </w:r>
          </w:p>
        </w:tc>
        <w:tc>
          <w:tcPr>
            <w:tcW w:type="dxa" w:w="2232"/>
            <w:vAlign w:val="center"/>
          </w:tcPr>
          <w:p>
            <w:pPr>
              <w:pStyle w:val="Compact"/>
              <w:spacing w:after="20" w:before="0"/>
              <w:jc w:val="left"/>
            </w:pPr>
            <w:r>
              <w:rPr>
                <w:sz w:val="16"/>
              </w:rPr>
              <w:t xml:space="preserve">OPS-002, MET-011, NFR-004</w:t>
            </w:r>
          </w:p>
        </w:tc>
        <w:tc>
          <w:tcPr>
            <w:tcW w:type="dxa" w:w="5285"/>
            <w:vAlign w:val="center"/>
          </w:tcPr>
          <w:p>
            <w:pPr>
              <w:pStyle w:val="Compact"/>
              <w:spacing w:after="20" w:before="0"/>
              <w:jc w:val="left"/>
            </w:pPr>
            <w:r>
              <w:rPr>
                <w:sz w:val="16"/>
              </w:rPr>
              <w:t xml:space="preserve">State/history survive restart; replay reproduces metrics for fixed inputs.</w:t>
            </w:r>
          </w:p>
        </w:tc>
      </w:tr>
      <w:tr>
        <w:tc>
          <w:tcPr>
            <w:tcW w:type="dxa" w:w="2016"/>
            <w:vAlign w:val="center"/>
          </w:tcPr>
          <w:p>
            <w:pPr>
              <w:pStyle w:val="Compact"/>
              <w:spacing w:after="20" w:before="0"/>
              <w:jc w:val="left"/>
            </w:pPr>
            <w:r>
              <w:rPr>
                <w:sz w:val="16"/>
              </w:rPr>
              <w:t xml:space="preserve">AT-10: Query version edit</w:t>
            </w:r>
          </w:p>
        </w:tc>
        <w:tc>
          <w:tcPr>
            <w:tcW w:type="dxa" w:w="2232"/>
            <w:vAlign w:val="center"/>
          </w:tcPr>
          <w:p>
            <w:pPr>
              <w:pStyle w:val="Compact"/>
              <w:spacing w:after="20" w:before="0"/>
              <w:jc w:val="left"/>
            </w:pPr>
            <w:r>
              <w:rPr>
                <w:sz w:val="16"/>
              </w:rPr>
              <w:t xml:space="preserve">QRY-005, NFR-013</w:t>
            </w:r>
          </w:p>
        </w:tc>
        <w:tc>
          <w:tcPr>
            <w:tcW w:type="dxa" w:w="5285"/>
            <w:vAlign w:val="center"/>
          </w:tcPr>
          <w:p>
            <w:pPr>
              <w:pStyle w:val="Compact"/>
              <w:spacing w:after="20" w:before="0"/>
              <w:jc w:val="left"/>
            </w:pPr>
            <w:r>
              <w:rPr>
                <w:sz w:val="16"/>
              </w:rPr>
              <w:t xml:space="preserve">Existing observations refer to original version; new version used prospectively.</w:t>
            </w:r>
          </w:p>
        </w:tc>
      </w:tr>
      <w:tr>
        <w:tc>
          <w:tcPr>
            <w:tcW w:type="dxa" w:w="2016"/>
            <w:vAlign w:val="center"/>
          </w:tcPr>
          <w:p>
            <w:pPr>
              <w:pStyle w:val="Compact"/>
              <w:spacing w:after="20" w:before="0"/>
              <w:jc w:val="left"/>
            </w:pPr>
            <w:r>
              <w:rPr>
                <w:sz w:val="16"/>
              </w:rPr>
              <w:t xml:space="preserve">AT-11: One-hour alerts</w:t>
            </w:r>
          </w:p>
        </w:tc>
        <w:tc>
          <w:tcPr>
            <w:tcW w:type="dxa" w:w="2232"/>
            <w:vAlign w:val="center"/>
          </w:tcPr>
          <w:p>
            <w:pPr>
              <w:pStyle w:val="Compact"/>
              <w:spacing w:after="20" w:before="0"/>
              <w:jc w:val="left"/>
            </w:pPr>
            <w:r>
              <w:rPr>
                <w:sz w:val="16"/>
              </w:rPr>
              <w:t xml:space="preserve">EVT-003–EVT-007</w:t>
            </w:r>
          </w:p>
        </w:tc>
        <w:tc>
          <w:tcPr>
            <w:tcW w:type="dxa" w:w="5285"/>
            <w:vAlign w:val="center"/>
          </w:tcPr>
          <w:p>
            <w:pPr>
              <w:pStyle w:val="Compact"/>
              <w:spacing w:after="20" w:before="0"/>
              <w:jc w:val="left"/>
            </w:pPr>
            <w:r>
              <w:rPr>
                <w:sz w:val="16"/>
              </w:rPr>
              <w:t xml:space="preserve">At most one alert per transition; acknowledge and delivery retry are tracked.</w:t>
            </w:r>
          </w:p>
        </w:tc>
      </w:tr>
      <w:tr>
        <w:tc>
          <w:tcPr>
            <w:tcW w:type="dxa" w:w="2016"/>
            <w:vAlign w:val="center"/>
          </w:tcPr>
          <w:p>
            <w:pPr>
              <w:pStyle w:val="Compact"/>
              <w:spacing w:after="20" w:before="0"/>
              <w:jc w:val="left"/>
            </w:pPr>
            <w:r>
              <w:rPr>
                <w:sz w:val="16"/>
              </w:rPr>
              <w:t xml:space="preserve">AT-12: External URL hardening</w:t>
            </w:r>
          </w:p>
        </w:tc>
        <w:tc>
          <w:tcPr>
            <w:tcW w:type="dxa" w:w="2232"/>
            <w:vAlign w:val="center"/>
          </w:tcPr>
          <w:p>
            <w:pPr>
              <w:pStyle w:val="Compact"/>
              <w:spacing w:after="20" w:before="0"/>
              <w:jc w:val="left"/>
            </w:pPr>
            <w:r>
              <w:rPr>
                <w:sz w:val="16"/>
              </w:rPr>
              <w:t xml:space="preserve">NFR-009, NFR-014</w:t>
            </w:r>
          </w:p>
        </w:tc>
        <w:tc>
          <w:tcPr>
            <w:tcW w:type="dxa" w:w="5285"/>
            <w:vAlign w:val="center"/>
          </w:tcPr>
          <w:p>
            <w:pPr>
              <w:pStyle w:val="Compact"/>
              <w:spacing w:after="20" w:before="0"/>
              <w:jc w:val="left"/>
            </w:pPr>
            <w:r>
              <w:rPr>
                <w:sz w:val="16"/>
              </w:rPr>
              <w:t xml:space="preserve">Private/loopback targets outside explicit allow-list and XSS payloads are blocked.</w:t>
            </w:r>
          </w:p>
        </w:tc>
      </w:tr>
    </w:tbl>
    <w:bookmarkEnd w:id="88"/>
    <w:bookmarkStart w:id="89" w:name="phase-0-acceptance-is-separate"/>
    <w:p>
      <w:pPr>
        <w:pStyle w:val="Heading3"/>
      </w:pPr>
      <w:r>
        <w:t xml:space="preserve">14.2.1 Phase 0 acceptance is separate</w:t>
      </w:r>
    </w:p>
    <w:p>
      <w:pPr>
        <w:pStyle w:val="FirstParagraph"/>
      </w:pPr>
      <w:r>
        <w:t xml:space="preserve">The ten</w:t>
      </w:r>
      <w:r>
        <w:t xml:space="preserve"> </w:t>
      </w:r>
      <w:r>
        <w:rPr>
          <w:rStyle w:val="VerbatimChar"/>
        </w:rPr>
        <w:t xml:space="preserve">P0-*</w:t>
      </w:r>
      <w:r>
        <w:t xml:space="preserve"> </w:t>
      </w:r>
      <w:r>
        <w:t xml:space="preserve">gates in</w:t>
      </w:r>
      <w:r>
        <w:t xml:space="preserve"> </w:t>
      </w:r>
      <w:r>
        <w:rPr>
          <w:rStyle w:val="VerbatimChar"/>
        </w:rPr>
        <w:t xml:space="preserve">CODEX_PHASE_0.md</w:t>
      </w:r>
      <w:r>
        <w:t xml:space="preserve"> </w:t>
      </w:r>
      <w:r>
        <w:t xml:space="preserve">are the only completion criteria for the immediate Codex task. The</w:t>
      </w:r>
      <w:r>
        <w:t xml:space="preserve"> </w:t>
      </w:r>
      <w:r>
        <w:rPr>
          <w:rStyle w:val="VerbatimChar"/>
        </w:rPr>
        <w:t xml:space="preserve">AT-*</w:t>
      </w:r>
      <w:r>
        <w:t xml:space="preserve"> </w:t>
      </w:r>
      <w:r>
        <w:t xml:space="preserve">scenarios above remain MVP acceptance tests for later releases. A mock engine can verify contracts, not model accuracy; a model that cannot load on the Dell must be reported as</w:t>
      </w:r>
      <w:r>
        <w:t xml:space="preserve"> </w:t>
      </w:r>
      <w:r>
        <w:rPr>
          <w:rStyle w:val="VerbatimChar"/>
        </w:rPr>
        <w:t xml:space="preserve">blocked_preflight</w:t>
      </w:r>
      <w:r>
        <w:t xml:space="preserve"> </w:t>
      </w:r>
      <w:r>
        <w:t xml:space="preserve">or a factual failure, never represented as a successful inference. Default CI must require neither network, real camera hardware nor model weights.</w:t>
      </w:r>
    </w:p>
    <w:bookmarkEnd w:id="89"/>
    <w:bookmarkStart w:id="90" w:name="mvp-definition-of-done"/>
    <w:p>
      <w:pPr>
        <w:pStyle w:val="Heading3"/>
      </w:pPr>
      <w:r>
        <w:t xml:space="preserve">14.3 MVP definition of done</w:t>
      </w:r>
    </w:p>
    <w:p>
      <w:pPr>
        <w:pStyle w:val="FirstParagraph"/>
      </w:pPr>
      <w:r>
        <w:t xml:space="preserve">All MVP functional and non-functional requirements must have linked tests, with no unresolved security-critical defects. The full demonstration must run from a documented fresh installation on supported hardware (or have documented hardware limitations), load one actual camera and one test fixture, execute multiple queries, display events and charts, produce auditable evidence where enabled, survive disconnect/restart, and complete backup/restore. Release notes and reproducible model/version dependencies must be supplied. No model-accuracy claim may exceed measured results.</w:t>
      </w:r>
    </w:p>
    <w:bookmarkEnd w:id="90"/>
    <w:bookmarkEnd w:id="91"/>
    <w:bookmarkStart w:id="95" w:name="phased-implementation-roadmap"/>
    <w:p>
      <w:pPr>
        <w:pStyle w:val="Heading2"/>
      </w:pPr>
      <w:r>
        <w:t xml:space="preserve">15. Phased implementation roadmap</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685"/>
        <w:gridCol w:w="1872"/>
        <w:gridCol w:w="5976"/>
      </w:tblGrid>
      <w:tr>
        <w:trPr>
          <w:tblHeader w:val="on"/>
          <w:tblHeader w:val="true"/>
        </w:trPr>
        <w:tc>
          <w:tcPr>
            <w:tcW w:type="dxa" w:w="1685"/>
            <w:vAlign w:val="center"/>
          </w:tcPr>
          <w:p>
            <w:pPr>
              <w:pStyle w:val="Compact"/>
              <w:spacing w:after="20" w:before="0"/>
              <w:jc w:val="left"/>
            </w:pPr>
            <w:r>
              <w:rPr>
                <w:b/>
                <w:sz w:val="16"/>
              </w:rPr>
              <w:t xml:space="preserve">Phase</w:t>
            </w:r>
          </w:p>
        </w:tc>
        <w:tc>
          <w:tcPr>
            <w:tcW w:type="dxa" w:w="1872"/>
            <w:vAlign w:val="center"/>
          </w:tcPr>
          <w:p>
            <w:pPr>
              <w:pStyle w:val="Compact"/>
              <w:spacing w:after="20" w:before="0"/>
              <w:jc w:val="left"/>
            </w:pPr>
            <w:r>
              <w:rPr>
                <w:b/>
                <w:sz w:val="16"/>
              </w:rPr>
              <w:t xml:space="preserve">Focus</w:t>
            </w:r>
          </w:p>
        </w:tc>
        <w:tc>
          <w:tcPr>
            <w:tcW w:type="dxa" w:w="5976"/>
            <w:vAlign w:val="center"/>
          </w:tcPr>
          <w:p>
            <w:pPr>
              <w:pStyle w:val="Compact"/>
              <w:spacing w:after="20" w:before="0"/>
              <w:jc w:val="left"/>
            </w:pPr>
            <w:r>
              <w:rPr>
                <w:b/>
                <w:sz w:val="16"/>
              </w:rPr>
              <w:t xml:space="preserve">Deliverable and exit gate</w:t>
            </w:r>
          </w:p>
        </w:tc>
      </w:tr>
      <w:tr>
        <w:tc>
          <w:tcPr>
            <w:tcW w:type="dxa" w:w="1685"/>
            <w:vAlign w:val="center"/>
          </w:tcPr>
          <w:p>
            <w:pPr>
              <w:pStyle w:val="Compact"/>
              <w:spacing w:after="20" w:before="0"/>
              <w:jc w:val="left"/>
            </w:pPr>
            <w:r>
              <w:rPr>
                <w:sz w:val="16"/>
              </w:rPr>
              <w:t xml:space="preserve">0 — Feasibility</w:t>
            </w:r>
          </w:p>
        </w:tc>
        <w:tc>
          <w:tcPr>
            <w:tcW w:type="dxa" w:w="1872"/>
            <w:vAlign w:val="center"/>
          </w:tcPr>
          <w:p>
            <w:pPr>
              <w:pStyle w:val="Compact"/>
              <w:spacing w:after="20" w:before="0"/>
              <w:jc w:val="left"/>
            </w:pPr>
            <w:r>
              <w:rPr>
                <w:b/>
                <w:bCs/>
                <w:sz w:val="16"/>
              </w:rPr>
              <w:t xml:space="preserve">Offline-first CLI:</w:t>
            </w:r>
            <w:r>
              <w:rPr>
                <w:sz w:val="16"/>
              </w:rPr>
              <w:t xml:space="preserve"> </w:t>
            </w:r>
            <w:r>
              <w:rPr>
                <w:sz w:val="16"/>
              </w:rPr>
              <w:t xml:space="preserve">still-image adapter, typed inference contracts, deterministic mock, opt-in Dell CPU benchmark</w:t>
            </w:r>
          </w:p>
        </w:tc>
        <w:tc>
          <w:tcPr>
            <w:tcW w:type="dxa" w:w="5976"/>
            <w:vAlign w:val="center"/>
          </w:tcPr>
          <w:p>
            <w:pPr>
              <w:pStyle w:val="Compact"/>
              <w:spacing w:after="20" w:before="0"/>
              <w:jc w:val="left"/>
            </w:pPr>
            <w:r>
              <w:rPr>
                <w:rStyle w:val="VerbatimChar"/>
                <w:sz w:val="16"/>
              </w:rPr>
              <w:t xml:space="preserve">P0-01</w:t>
            </w:r>
            <w:r>
              <w:rPr>
                <w:sz w:val="16"/>
              </w:rPr>
              <w:t xml:space="preserve">–</w:t>
            </w:r>
            <w:r>
              <w:rPr>
                <w:rStyle w:val="VerbatimChar"/>
                <w:sz w:val="16"/>
              </w:rPr>
              <w:t xml:space="preserve">P0-10</w:t>
            </w:r>
            <w:r>
              <w:rPr>
                <w:sz w:val="16"/>
              </w:rPr>
              <w:t xml:space="preserve"> </w:t>
            </w:r>
            <w:r>
              <w:rPr>
                <w:sz w:val="16"/>
              </w:rPr>
              <w:t xml:space="preserve">completed/recorded per</w:t>
            </w:r>
            <w:r>
              <w:rPr>
                <w:sz w:val="16"/>
              </w:rPr>
              <w:t xml:space="preserve"> </w:t>
            </w:r>
            <w:r>
              <w:rPr>
                <w:rStyle w:val="VerbatimChar"/>
                <w:sz w:val="16"/>
              </w:rPr>
              <w:t xml:space="preserve">CODEX_PHASE_0.md</w:t>
            </w:r>
            <w:r>
              <w:rPr>
                <w:sz w:val="16"/>
              </w:rPr>
              <w:t xml:space="preserve">; honest model feasibility report and explicit stop before Phase 1. Live RTSP/USB is NOT a Phase 0 gate.</w:t>
            </w:r>
          </w:p>
        </w:tc>
      </w:tr>
      <w:tr>
        <w:tc>
          <w:tcPr>
            <w:tcW w:type="dxa" w:w="1685"/>
            <w:vAlign w:val="center"/>
          </w:tcPr>
          <w:p>
            <w:pPr>
              <w:pStyle w:val="Compact"/>
              <w:spacing w:after="20" w:before="0"/>
              <w:jc w:val="left"/>
            </w:pPr>
            <w:r>
              <w:rPr>
                <w:sz w:val="16"/>
              </w:rPr>
              <w:t xml:space="preserve">1 — Foundation</w:t>
            </w:r>
          </w:p>
        </w:tc>
        <w:tc>
          <w:tcPr>
            <w:tcW w:type="dxa" w:w="1872"/>
            <w:vAlign w:val="center"/>
          </w:tcPr>
          <w:p>
            <w:pPr>
              <w:pStyle w:val="Compact"/>
              <w:spacing w:after="20" w:before="0"/>
              <w:jc w:val="left"/>
            </w:pPr>
            <w:r>
              <w:rPr>
                <w:sz w:val="16"/>
              </w:rPr>
              <w:t xml:space="preserve">Repo/CI, configuration, source adapters, basic auth, DB schema, local service, model interface</w:t>
            </w:r>
          </w:p>
        </w:tc>
        <w:tc>
          <w:tcPr>
            <w:tcW w:type="dxa" w:w="5976"/>
            <w:vAlign w:val="center"/>
          </w:tcPr>
          <w:p>
            <w:pPr>
              <w:pStyle w:val="Compact"/>
              <w:spacing w:after="20" w:before="0"/>
              <w:jc w:val="left"/>
            </w:pPr>
            <w:r>
              <w:rPr>
                <w:sz w:val="16"/>
              </w:rPr>
              <w:t xml:space="preserve">Synthetic frames traverse capture → inference → persisted observation and API.</w:t>
            </w:r>
          </w:p>
        </w:tc>
      </w:tr>
      <w:tr>
        <w:tc>
          <w:tcPr>
            <w:tcW w:type="dxa" w:w="1685"/>
            <w:vAlign w:val="center"/>
          </w:tcPr>
          <w:p>
            <w:pPr>
              <w:pStyle w:val="Compact"/>
              <w:spacing w:after="20" w:before="0"/>
              <w:jc w:val="left"/>
            </w:pPr>
            <w:r>
              <w:rPr>
                <w:sz w:val="16"/>
              </w:rPr>
              <w:t xml:space="preserve">2 — MVP capability</w:t>
            </w:r>
          </w:p>
        </w:tc>
        <w:tc>
          <w:tcPr>
            <w:tcW w:type="dxa" w:w="1872"/>
            <w:vAlign w:val="center"/>
          </w:tcPr>
          <w:p>
            <w:pPr>
              <w:pStyle w:val="Compact"/>
              <w:spacing w:after="20" w:before="0"/>
              <w:jc w:val="left"/>
            </w:pPr>
            <w:r>
              <w:rPr>
                <w:sz w:val="16"/>
              </w:rPr>
              <w:t xml:space="preserve">Question editor, state machine, event metrics, evidence, dashboards, disconnect handling</w:t>
            </w:r>
          </w:p>
        </w:tc>
        <w:tc>
          <w:tcPr>
            <w:tcW w:type="dxa" w:w="5976"/>
            <w:vAlign w:val="center"/>
          </w:tcPr>
          <w:p>
            <w:pPr>
              <w:pStyle w:val="Compact"/>
              <w:spacing w:after="20" w:before="0"/>
              <w:jc w:val="left"/>
            </w:pPr>
            <w:r>
              <w:rPr>
                <w:sz w:val="16"/>
              </w:rPr>
              <w:t xml:space="preserve">AT-01 through AT-10 pass on supported reference configuration.</w:t>
            </w:r>
          </w:p>
        </w:tc>
      </w:tr>
      <w:tr>
        <w:tc>
          <w:tcPr>
            <w:tcW w:type="dxa" w:w="1685"/>
            <w:vAlign w:val="center"/>
          </w:tcPr>
          <w:p>
            <w:pPr>
              <w:pStyle w:val="Compact"/>
              <w:spacing w:after="20" w:before="0"/>
              <w:jc w:val="left"/>
            </w:pPr>
            <w:r>
              <w:rPr>
                <w:sz w:val="16"/>
              </w:rPr>
              <w:t xml:space="preserve">3 — Reliable release</w:t>
            </w:r>
          </w:p>
        </w:tc>
        <w:tc>
          <w:tcPr>
            <w:tcW w:type="dxa" w:w="1872"/>
            <w:vAlign w:val="center"/>
          </w:tcPr>
          <w:p>
            <w:pPr>
              <w:pStyle w:val="Compact"/>
              <w:spacing w:after="20" w:before="0"/>
              <w:jc w:val="left"/>
            </w:pPr>
            <w:r>
              <w:rPr>
                <w:sz w:val="16"/>
              </w:rPr>
              <w:t xml:space="preserve">Rules, alert delivery, export, audit, retention, installer, backup/restore, security tests</w:t>
            </w:r>
          </w:p>
        </w:tc>
        <w:tc>
          <w:tcPr>
            <w:tcW w:type="dxa" w:w="5976"/>
            <w:vAlign w:val="center"/>
          </w:tcPr>
          <w:p>
            <w:pPr>
              <w:pStyle w:val="Compact"/>
              <w:spacing w:after="20" w:before="0"/>
              <w:jc w:val="left"/>
            </w:pPr>
            <w:r>
              <w:rPr>
                <w:sz w:val="16"/>
              </w:rPr>
              <w:t xml:space="preserve">All MVP AT tests pass; no high-severity unresolved defects; release package built.</w:t>
            </w:r>
          </w:p>
        </w:tc>
      </w:tr>
      <w:tr>
        <w:tc>
          <w:tcPr>
            <w:tcW w:type="dxa" w:w="1685"/>
            <w:vAlign w:val="center"/>
          </w:tcPr>
          <w:p>
            <w:pPr>
              <w:pStyle w:val="Compact"/>
              <w:spacing w:after="20" w:before="0"/>
              <w:jc w:val="left"/>
            </w:pPr>
            <w:r>
              <w:rPr>
                <w:sz w:val="16"/>
              </w:rPr>
              <w:t xml:space="preserve">4 — Expanded inputs</w:t>
            </w:r>
          </w:p>
        </w:tc>
        <w:tc>
          <w:tcPr>
            <w:tcW w:type="dxa" w:w="1872"/>
            <w:vAlign w:val="center"/>
          </w:tcPr>
          <w:p>
            <w:pPr>
              <w:pStyle w:val="Compact"/>
              <w:spacing w:after="20" w:before="0"/>
              <w:jc w:val="left"/>
            </w:pPr>
            <w:r>
              <w:rPr>
                <w:sz w:val="16"/>
              </w:rPr>
              <w:t xml:space="preserve">ONVIF discovery, HLS/MJPEG, remote agents, additional detectors/OCR</w:t>
            </w:r>
          </w:p>
        </w:tc>
        <w:tc>
          <w:tcPr>
            <w:tcW w:type="dxa" w:w="5976"/>
            <w:vAlign w:val="center"/>
          </w:tcPr>
          <w:p>
            <w:pPr>
              <w:pStyle w:val="Compact"/>
              <w:spacing w:after="20" w:before="0"/>
              <w:jc w:val="left"/>
            </w:pPr>
            <w:r>
              <w:rPr>
                <w:sz w:val="16"/>
              </w:rPr>
              <w:t xml:space="preserve">New adapter/engine proven without schema or dashboard rewrite.</w:t>
            </w:r>
          </w:p>
        </w:tc>
      </w:tr>
      <w:tr>
        <w:tc>
          <w:tcPr>
            <w:tcW w:type="dxa" w:w="1685"/>
            <w:vAlign w:val="center"/>
          </w:tcPr>
          <w:p>
            <w:pPr>
              <w:pStyle w:val="Compact"/>
              <w:spacing w:after="20" w:before="0"/>
              <w:jc w:val="left"/>
            </w:pPr>
            <w:r>
              <w:rPr>
                <w:sz w:val="16"/>
              </w:rPr>
              <w:t xml:space="preserve">5 — Multi-user scale</w:t>
            </w:r>
          </w:p>
        </w:tc>
        <w:tc>
          <w:tcPr>
            <w:tcW w:type="dxa" w:w="1872"/>
            <w:vAlign w:val="center"/>
          </w:tcPr>
          <w:p>
            <w:pPr>
              <w:pStyle w:val="Compact"/>
              <w:spacing w:after="20" w:before="0"/>
              <w:jc w:val="left"/>
            </w:pPr>
            <w:r>
              <w:rPr>
                <w:sz w:val="16"/>
              </w:rPr>
              <w:t xml:space="preserve">PostgreSQL, distributed workers, SSO, granular policy, organisational reporting</w:t>
            </w:r>
          </w:p>
        </w:tc>
        <w:tc>
          <w:tcPr>
            <w:tcW w:type="dxa" w:w="5976"/>
            <w:vAlign w:val="center"/>
          </w:tcPr>
          <w:p>
            <w:pPr>
              <w:pStyle w:val="Compact"/>
              <w:spacing w:after="20" w:before="0"/>
              <w:jc w:val="left"/>
            </w:pPr>
            <w:r>
              <w:rPr>
                <w:sz w:val="16"/>
              </w:rPr>
              <w:t xml:space="preserve">Load, permission, security and recovery tests on target infrastructure.</w:t>
            </w:r>
          </w:p>
        </w:tc>
      </w:tr>
    </w:tbl>
    <w:bookmarkStart w:id="92" w:name="Xbbe4e5f997e46cf169069d6b60949571f0ef8c8"/>
    <w:p>
      <w:pPr>
        <w:pStyle w:val="Heading3"/>
      </w:pPr>
      <w:r>
        <w:t xml:space="preserve">15.0 First Codex assignment — non-negotiable scope control</w:t>
      </w:r>
    </w:p>
    <w:p>
      <w:pPr>
        <w:pStyle w:val="FirstParagraph"/>
      </w:pPr>
      <w:r>
        <w:t xml:space="preserve">Copy this package into the repository and give Codex the instructions in</w:t>
      </w:r>
      <w:r>
        <w:t xml:space="preserve"> </w:t>
      </w:r>
      <w:r>
        <w:rPr>
          <w:rStyle w:val="VerbatimChar"/>
        </w:rPr>
        <w:t xml:space="preserve">CODEX_START_PROMPT.md</w:t>
      </w:r>
      <w:r>
        <w:t xml:space="preserve">. It shall read root</w:t>
      </w:r>
      <w:r>
        <w:t xml:space="preserve"> </w:t>
      </w:r>
      <w:r>
        <w:rPr>
          <w:rStyle w:val="VerbatimChar"/>
        </w:rPr>
        <w:t xml:space="preserve">AGENTS.md</w:t>
      </w:r>
      <w:r>
        <w:t xml:space="preserve"> </w:t>
      </w:r>
      <w:r>
        <w:t xml:space="preserve">and</w:t>
      </w:r>
      <w:r>
        <w:t xml:space="preserve"> </w:t>
      </w:r>
      <w:r>
        <w:rPr>
          <w:rStyle w:val="VerbatimChar"/>
        </w:rPr>
        <w:t xml:space="preserve">CODEX_PHASE_0.md</w:t>
      </w:r>
      <w:r>
        <w:t xml:space="preserve">, implement only the specified CLI proof of concept, run offline tests, record actual or explicitly unavailable CPU benchmark data, and stop for review. The complete SRS is an architectural reference and future acceptance catalogue,</w:t>
      </w:r>
      <w:r>
        <w:t xml:space="preserve"> </w:t>
      </w:r>
      <w:r>
        <w:rPr>
          <w:b/>
          <w:bCs/>
        </w:rPr>
        <w:t xml:space="preserve">not</w:t>
      </w:r>
      <w:r>
        <w:t xml:space="preserve"> </w:t>
      </w:r>
      <w:r>
        <w:t xml:space="preserve">an instruction to implement all 103 initial requirement rows at once. If a model/dependency fails, do not hide the failure with mock output or a speculative substitute.</w:t>
      </w:r>
    </w:p>
    <w:bookmarkEnd w:id="92"/>
    <w:bookmarkStart w:id="93" w:name="prioritised-engineering-backlog"/>
    <w:p>
      <w:pPr>
        <w:pStyle w:val="Heading3"/>
      </w:pPr>
      <w:r>
        <w:t xml:space="preserve">15.1 Prioritised engineering backlog</w:t>
      </w:r>
    </w:p>
    <w:p>
      <w:pPr>
        <w:pStyle w:val="Compact"/>
        <w:numPr>
          <w:ilvl w:val="0"/>
          <w:numId w:val="1012"/>
        </w:numPr>
      </w:pPr>
      <w:r>
        <w:rPr>
          <w:b/>
          <w:bCs/>
        </w:rPr>
        <w:t xml:space="preserve">Phase 0:</w:t>
      </w:r>
      <w:r>
        <w:t xml:space="preserve"> </w:t>
      </w:r>
      <w:r>
        <w:t xml:space="preserve">Build minimal Python package, offline mock/frame contract tests, CLI and guarded model benchmark; see</w:t>
      </w:r>
      <w:r>
        <w:t xml:space="preserve"> </w:t>
      </w:r>
      <w:r>
        <w:rPr>
          <w:rStyle w:val="VerbatimChar"/>
        </w:rPr>
        <w:t xml:space="preserve">CODEX_PHASE_0.md</w:t>
      </w:r>
      <w:r>
        <w:t xml:space="preserve">.</w:t>
      </w:r>
    </w:p>
    <w:p>
      <w:pPr>
        <w:pStyle w:val="Compact"/>
        <w:numPr>
          <w:ilvl w:val="0"/>
          <w:numId w:val="1012"/>
        </w:numPr>
      </w:pPr>
      <w:r>
        <w:rPr>
          <w:b/>
          <w:bCs/>
        </w:rPr>
        <w:t xml:space="preserve">Phase 1+:</w:t>
      </w:r>
      <w:r>
        <w:t xml:space="preserve"> </w:t>
      </w:r>
      <w:r>
        <w:t xml:space="preserve">Extend the verified still-image adapter to USB, RTSP and snapshot URL acquisition after the Phase 0 review.</w:t>
      </w:r>
    </w:p>
    <w:p>
      <w:pPr>
        <w:pStyle w:val="Compact"/>
        <w:numPr>
          <w:ilvl w:val="0"/>
          <w:numId w:val="1012"/>
        </w:numPr>
      </w:pPr>
      <w:r>
        <w:t xml:space="preserve">Verify official d1-3B API on a single image; evaluate fallback with an abstraction, not hard-coded imports.</w:t>
      </w:r>
    </w:p>
    <w:p>
      <w:pPr>
        <w:pStyle w:val="Compact"/>
        <w:numPr>
          <w:ilvl w:val="0"/>
          <w:numId w:val="1012"/>
        </w:numPr>
      </w:pPr>
      <w:r>
        <w:t xml:space="preserve">Implement</w:t>
      </w:r>
      <w:r>
        <w:t xml:space="preserve"> </w:t>
      </w:r>
      <w:r>
        <w:rPr>
          <w:rStyle w:val="VerbatimChar"/>
        </w:rPr>
        <w:t xml:space="preserve">Observation</w:t>
      </w:r>
      <w:r>
        <w:t xml:space="preserve"> </w:t>
      </w:r>
      <w:r>
        <w:t xml:space="preserve">schema and typed answer normalisation.</w:t>
      </w:r>
    </w:p>
    <w:p>
      <w:pPr>
        <w:pStyle w:val="Compact"/>
        <w:numPr>
          <w:ilvl w:val="0"/>
          <w:numId w:val="1012"/>
        </w:numPr>
      </w:pPr>
      <w:r>
        <w:t xml:space="preserve">Add question versions, scheduling and positive/negative/unknown state machine.</w:t>
      </w:r>
    </w:p>
    <w:p>
      <w:pPr>
        <w:pStyle w:val="Compact"/>
        <w:numPr>
          <w:ilvl w:val="0"/>
          <w:numId w:val="1012"/>
        </w:numPr>
      </w:pPr>
      <w:r>
        <w:t xml:space="preserve">Generate events and aggregate measurement samples; write deterministic replay tests.</w:t>
      </w:r>
    </w:p>
    <w:p>
      <w:pPr>
        <w:pStyle w:val="Compact"/>
        <w:numPr>
          <w:ilvl w:val="0"/>
          <w:numId w:val="1012"/>
        </w:numPr>
      </w:pPr>
      <w:r>
        <w:t xml:space="preserve">Build source/query management UI, timelines, evidence views and charts.</w:t>
      </w:r>
    </w:p>
    <w:p>
      <w:pPr>
        <w:pStyle w:val="Compact"/>
        <w:numPr>
          <w:ilvl w:val="0"/>
          <w:numId w:val="1012"/>
        </w:numPr>
      </w:pPr>
      <w:r>
        <w:t xml:space="preserve">Add alerts, retention, authentication, backup/restore and operational diagnostics.</w:t>
      </w:r>
    </w:p>
    <w:p>
      <w:pPr>
        <w:pStyle w:val="Compact"/>
        <w:numPr>
          <w:ilvl w:val="0"/>
          <w:numId w:val="1012"/>
        </w:numPr>
      </w:pPr>
      <w:r>
        <w:t xml:space="preserve">Run security review, privacy review, performance benchmark and release testing.</w:t>
      </w:r>
    </w:p>
    <w:bookmarkEnd w:id="93"/>
    <w:bookmarkStart w:id="94" w:name="suggested-repository-layout"/>
    <w:p>
      <w:pPr>
        <w:pStyle w:val="Heading3"/>
      </w:pPr>
      <w:r>
        <w:t xml:space="preserve">15.2 Suggested repository layout</w:t>
      </w:r>
    </w:p>
    <w:p>
      <w:pPr>
        <w:pStyle w:val="SourceCode"/>
      </w:pPr>
      <w:r>
        <w:rPr>
          <w:rStyle w:val="VerbatimChar"/>
        </w:rPr>
        <w:t xml:space="preserve">visual-observability/</w:t>
      </w:r>
      <w:r>
        <w:br/>
      </w:r>
      <w:r>
        <w:rPr>
          <w:rStyle w:val="VerbatimChar"/>
        </w:rPr>
        <w:t xml:space="preserve">  docs/</w:t>
      </w:r>
      <w:r>
        <w:br/>
      </w:r>
      <w:r>
        <w:rPr>
          <w:rStyle w:val="VerbatimChar"/>
        </w:rPr>
        <w:t xml:space="preserve">    SRS-v0.2.md</w:t>
      </w:r>
      <w:r>
        <w:br/>
      </w:r>
      <w:r>
        <w:rPr>
          <w:rStyle w:val="VerbatimChar"/>
        </w:rPr>
        <w:t xml:space="preserve">    architecture/</w:t>
      </w:r>
      <w:r>
        <w:br/>
      </w:r>
      <w:r>
        <w:rPr>
          <w:rStyle w:val="VerbatimChar"/>
        </w:rPr>
        <w:t xml:space="preserve">    decisions/</w:t>
      </w:r>
      <w:r>
        <w:br/>
      </w:r>
      <w:r>
        <w:rPr>
          <w:rStyle w:val="VerbatimChar"/>
        </w:rPr>
        <w:t xml:space="preserve">  backend/</w:t>
      </w:r>
      <w:r>
        <w:br/>
      </w:r>
      <w:r>
        <w:rPr>
          <w:rStyle w:val="VerbatimChar"/>
        </w:rPr>
        <w:t xml:space="preserve">    api/</w:t>
      </w:r>
      <w:r>
        <w:br/>
      </w:r>
      <w:r>
        <w:rPr>
          <w:rStyle w:val="VerbatimChar"/>
        </w:rPr>
        <w:t xml:space="preserve">    domain/</w:t>
      </w:r>
      <w:r>
        <w:br/>
      </w:r>
      <w:r>
        <w:rPr>
          <w:rStyle w:val="VerbatimChar"/>
        </w:rPr>
        <w:t xml:space="preserve">    adapters/inputs/</w:t>
      </w:r>
      <w:r>
        <w:br/>
      </w:r>
      <w:r>
        <w:rPr>
          <w:rStyle w:val="VerbatimChar"/>
        </w:rPr>
        <w:t xml:space="preserve">    adapters/inference/</w:t>
      </w:r>
      <w:r>
        <w:br/>
      </w:r>
      <w:r>
        <w:rPr>
          <w:rStyle w:val="VerbatimChar"/>
        </w:rPr>
        <w:t xml:space="preserve">    measurements/</w:t>
      </w:r>
      <w:r>
        <w:br/>
      </w:r>
      <w:r>
        <w:rPr>
          <w:rStyle w:val="VerbatimChar"/>
        </w:rPr>
        <w:t xml:space="preserve">    rules/</w:t>
      </w:r>
      <w:r>
        <w:br/>
      </w:r>
      <w:r>
        <w:rPr>
          <w:rStyle w:val="VerbatimChar"/>
        </w:rPr>
        <w:t xml:space="preserve">    persistence/</w:t>
      </w:r>
      <w:r>
        <w:br/>
      </w:r>
      <w:r>
        <w:rPr>
          <w:rStyle w:val="VerbatimChar"/>
        </w:rPr>
        <w:t xml:space="preserve">    tests/</w:t>
      </w:r>
      <w:r>
        <w:br/>
      </w:r>
      <w:r>
        <w:rPr>
          <w:rStyle w:val="VerbatimChar"/>
        </w:rPr>
        <w:t xml:space="preserve">  frontend/</w:t>
      </w:r>
      <w:r>
        <w:br/>
      </w:r>
      <w:r>
        <w:rPr>
          <w:rStyle w:val="VerbatimChar"/>
        </w:rPr>
        <w:t xml:space="preserve">    src/</w:t>
      </w:r>
      <w:r>
        <w:br/>
      </w:r>
      <w:r>
        <w:rPr>
          <w:rStyle w:val="VerbatimChar"/>
        </w:rPr>
        <w:t xml:space="preserve">  schemas/</w:t>
      </w:r>
      <w:r>
        <w:br/>
      </w:r>
      <w:r>
        <w:rPr>
          <w:rStyle w:val="VerbatimChar"/>
        </w:rPr>
        <w:t xml:space="preserve">  sample-config/</w:t>
      </w:r>
      <w:r>
        <w:br/>
      </w:r>
      <w:r>
        <w:rPr>
          <w:rStyle w:val="VerbatimChar"/>
        </w:rPr>
        <w:t xml:space="preserve">  fixtures/</w:t>
      </w:r>
      <w:r>
        <w:br/>
      </w:r>
      <w:r>
        <w:rPr>
          <w:rStyle w:val="VerbatimChar"/>
        </w:rPr>
        <w:t xml:space="preserve">  deploy/</w:t>
      </w:r>
      <w:r>
        <w:br/>
      </w:r>
      <w:r>
        <w:rPr>
          <w:rStyle w:val="VerbatimChar"/>
        </w:rPr>
        <w:t xml:space="preserve">  .github/workflows/</w:t>
      </w:r>
    </w:p>
    <w:p>
      <w:pPr>
        <w:pStyle w:val="FirstParagraph"/>
      </w:pPr>
      <w:r>
        <w:t xml:space="preserve">The architecture should be tested through both contract tests and representative plugins. A plugin that cannot satisfy a required capability must report that limitation rather than mimic success.</w:t>
      </w:r>
    </w:p>
    <w:bookmarkEnd w:id="94"/>
    <w:bookmarkEnd w:id="95"/>
    <w:bookmarkStart w:id="96" w:name="risks-and-mitigations"/>
    <w:p>
      <w:pPr>
        <w:pStyle w:val="Heading2"/>
      </w:pPr>
      <w:r>
        <w:t xml:space="preserve">16. Risks and mitigations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979"/>
        <w:gridCol w:w="3384"/>
        <w:gridCol w:w="5170"/>
      </w:tblGrid>
      <w:tr>
        <w:trPr>
          <w:tblHeader w:val="on"/>
          <w:tblHeader w:val="true"/>
        </w:trPr>
        <w:tc>
          <w:tcPr>
            <w:tcW w:type="dxa" w:w="979"/>
            <w:vAlign w:val="center"/>
          </w:tcPr>
          <w:p>
            <w:pPr>
              <w:pStyle w:val="Compact"/>
              <w:spacing w:after="20" w:before="0"/>
              <w:jc w:val="left"/>
            </w:pPr>
            <w:r>
              <w:rPr>
                <w:b/>
                <w:sz w:val="16"/>
              </w:rPr>
              <w:t xml:space="preserve">ID</w:t>
            </w:r>
          </w:p>
        </w:tc>
        <w:tc>
          <w:tcPr>
            <w:tcW w:type="dxa" w:w="3384"/>
            <w:vAlign w:val="center"/>
          </w:tcPr>
          <w:p>
            <w:pPr>
              <w:pStyle w:val="Compact"/>
              <w:spacing w:after="20" w:before="0"/>
              <w:jc w:val="left"/>
            </w:pPr>
            <w:r>
              <w:rPr>
                <w:b/>
                <w:sz w:val="16"/>
              </w:rPr>
              <w:t xml:space="preserve">Risk</w:t>
            </w:r>
          </w:p>
        </w:tc>
        <w:tc>
          <w:tcPr>
            <w:tcW w:type="dxa" w:w="5170"/>
            <w:vAlign w:val="center"/>
          </w:tcPr>
          <w:p>
            <w:pPr>
              <w:pStyle w:val="Compact"/>
              <w:spacing w:after="20" w:before="0"/>
              <w:jc w:val="left"/>
            </w:pPr>
            <w:r>
              <w:rPr>
                <w:b/>
                <w:sz w:val="16"/>
              </w:rPr>
              <w:t xml:space="preserve">Mitigation / owner for decision</w:t>
            </w:r>
          </w:p>
        </w:tc>
      </w:tr>
      <w:tr>
        <w:tc>
          <w:tcPr>
            <w:tcW w:type="dxa" w:w="979"/>
            <w:vAlign w:val="center"/>
          </w:tcPr>
          <w:p>
            <w:pPr>
              <w:pStyle w:val="Compact"/>
              <w:spacing w:after="20" w:before="0"/>
              <w:jc w:val="left"/>
            </w:pPr>
            <w:r>
              <w:rPr>
                <w:sz w:val="16"/>
              </w:rPr>
              <w:t xml:space="preserve">R-01</w:t>
            </w:r>
          </w:p>
        </w:tc>
        <w:tc>
          <w:tcPr>
            <w:tcW w:type="dxa" w:w="3384"/>
            <w:vAlign w:val="center"/>
          </w:tcPr>
          <w:p>
            <w:pPr>
              <w:pStyle w:val="Compact"/>
              <w:spacing w:after="20" w:before="0"/>
              <w:jc w:val="left"/>
            </w:pPr>
            <w:r>
              <w:rPr>
                <w:sz w:val="16"/>
              </w:rPr>
              <w:t xml:space="preserve">d1-3B FP32 too memory-intensive on the 16 GB laptop</w:t>
            </w:r>
          </w:p>
        </w:tc>
        <w:tc>
          <w:tcPr>
            <w:tcW w:type="dxa" w:w="5170"/>
            <w:vAlign w:val="center"/>
          </w:tcPr>
          <w:p>
            <w:pPr>
              <w:pStyle w:val="Compact"/>
              <w:spacing w:after="20" w:before="0"/>
              <w:jc w:val="left"/>
            </w:pPr>
            <w:r>
              <w:rPr>
                <w:sz w:val="16"/>
              </w:rPr>
              <w:t xml:space="preserve">Phase 0 benchmark; evaluate compatible optimised model/runtime or external worker.</w:t>
            </w:r>
          </w:p>
        </w:tc>
      </w:tr>
      <w:tr>
        <w:tc>
          <w:tcPr>
            <w:tcW w:type="dxa" w:w="979"/>
            <w:vAlign w:val="center"/>
          </w:tcPr>
          <w:p>
            <w:pPr>
              <w:pStyle w:val="Compact"/>
              <w:spacing w:after="20" w:before="0"/>
              <w:jc w:val="left"/>
            </w:pPr>
            <w:r>
              <w:rPr>
                <w:sz w:val="16"/>
              </w:rPr>
              <w:t xml:space="preserve">R-02</w:t>
            </w:r>
          </w:p>
        </w:tc>
        <w:tc>
          <w:tcPr>
            <w:tcW w:type="dxa" w:w="3384"/>
            <w:vAlign w:val="center"/>
          </w:tcPr>
          <w:p>
            <w:pPr>
              <w:pStyle w:val="Compact"/>
              <w:spacing w:after="20" w:before="0"/>
              <w:jc w:val="left"/>
            </w:pPr>
            <w:r>
              <w:rPr>
                <w:sz w:val="16"/>
              </w:rPr>
              <w:t xml:space="preserve">Incorrect visual decision produces false reassurance</w:t>
            </w:r>
          </w:p>
        </w:tc>
        <w:tc>
          <w:tcPr>
            <w:tcW w:type="dxa" w:w="5170"/>
            <w:vAlign w:val="center"/>
          </w:tcPr>
          <w:p>
            <w:pPr>
              <w:pStyle w:val="Compact"/>
              <w:spacing w:after="20" w:before="0"/>
              <w:jc w:val="left"/>
            </w:pPr>
            <w:r>
              <w:rPr>
                <w:sz w:val="16"/>
              </w:rPr>
              <w:t xml:space="preserve">UNKNOWN states, validation sets, multiple confirmations, safety disclaimer and sensor correlation.</w:t>
            </w:r>
          </w:p>
        </w:tc>
      </w:tr>
      <w:tr>
        <w:tc>
          <w:tcPr>
            <w:tcW w:type="dxa" w:w="979"/>
            <w:vAlign w:val="center"/>
          </w:tcPr>
          <w:p>
            <w:pPr>
              <w:pStyle w:val="Compact"/>
              <w:spacing w:after="20" w:before="0"/>
              <w:jc w:val="left"/>
            </w:pPr>
            <w:r>
              <w:rPr>
                <w:sz w:val="16"/>
              </w:rPr>
              <w:t xml:space="preserve">R-03</w:t>
            </w:r>
          </w:p>
        </w:tc>
        <w:tc>
          <w:tcPr>
            <w:tcW w:type="dxa" w:w="3384"/>
            <w:vAlign w:val="center"/>
          </w:tcPr>
          <w:p>
            <w:pPr>
              <w:pStyle w:val="Compact"/>
              <w:spacing w:after="20" w:before="0"/>
              <w:jc w:val="left"/>
            </w:pPr>
            <w:r>
              <w:rPr>
                <w:sz w:val="16"/>
              </w:rPr>
              <w:t xml:space="preserve">False-positive alerts overwhelm users</w:t>
            </w:r>
          </w:p>
        </w:tc>
        <w:tc>
          <w:tcPr>
            <w:tcW w:type="dxa" w:w="5170"/>
            <w:vAlign w:val="center"/>
          </w:tcPr>
          <w:p>
            <w:pPr>
              <w:pStyle w:val="Compact"/>
              <w:spacing w:after="20" w:before="0"/>
              <w:jc w:val="left"/>
            </w:pPr>
            <w:r>
              <w:rPr>
                <w:sz w:val="16"/>
              </w:rPr>
              <w:t xml:space="preserve">Per-query calibration, cooldown, human feedback, source-quality indicators.</w:t>
            </w:r>
          </w:p>
        </w:tc>
      </w:tr>
      <w:tr>
        <w:tc>
          <w:tcPr>
            <w:tcW w:type="dxa" w:w="979"/>
            <w:vAlign w:val="center"/>
          </w:tcPr>
          <w:p>
            <w:pPr>
              <w:pStyle w:val="Compact"/>
              <w:spacing w:after="20" w:before="0"/>
              <w:jc w:val="left"/>
            </w:pPr>
            <w:r>
              <w:rPr>
                <w:sz w:val="16"/>
              </w:rPr>
              <w:t xml:space="preserve">R-04</w:t>
            </w:r>
          </w:p>
        </w:tc>
        <w:tc>
          <w:tcPr>
            <w:tcW w:type="dxa" w:w="3384"/>
            <w:vAlign w:val="center"/>
          </w:tcPr>
          <w:p>
            <w:pPr>
              <w:pStyle w:val="Compact"/>
              <w:spacing w:after="20" w:before="0"/>
              <w:jc w:val="left"/>
            </w:pPr>
            <w:r>
              <w:rPr>
                <w:sz w:val="16"/>
              </w:rPr>
              <w:t xml:space="preserve">Lighting/camera movement causes inaccurate comparisons</w:t>
            </w:r>
          </w:p>
        </w:tc>
        <w:tc>
          <w:tcPr>
            <w:tcW w:type="dxa" w:w="5170"/>
            <w:vAlign w:val="center"/>
          </w:tcPr>
          <w:p>
            <w:pPr>
              <w:pStyle w:val="Compact"/>
              <w:spacing w:after="20" w:before="0"/>
              <w:jc w:val="left"/>
            </w:pPr>
            <w:r>
              <w:rPr>
                <w:sz w:val="16"/>
              </w:rPr>
              <w:t xml:space="preserve">ROI, image registration, quality detection and labelled night/day tests.</w:t>
            </w:r>
          </w:p>
        </w:tc>
      </w:tr>
      <w:tr>
        <w:tc>
          <w:tcPr>
            <w:tcW w:type="dxa" w:w="979"/>
            <w:vAlign w:val="center"/>
          </w:tcPr>
          <w:p>
            <w:pPr>
              <w:pStyle w:val="Compact"/>
              <w:spacing w:after="20" w:before="0"/>
              <w:jc w:val="left"/>
            </w:pPr>
            <w:r>
              <w:rPr>
                <w:sz w:val="16"/>
              </w:rPr>
              <w:t xml:space="preserve">R-05</w:t>
            </w:r>
          </w:p>
        </w:tc>
        <w:tc>
          <w:tcPr>
            <w:tcW w:type="dxa" w:w="3384"/>
            <w:vAlign w:val="center"/>
          </w:tcPr>
          <w:p>
            <w:pPr>
              <w:pStyle w:val="Compact"/>
              <w:spacing w:after="20" w:before="0"/>
              <w:jc w:val="left"/>
            </w:pPr>
            <w:r>
              <w:rPr>
                <w:sz w:val="16"/>
              </w:rPr>
              <w:t xml:space="preserve">Vendor camera does not expose RTSP/ONVIF</w:t>
            </w:r>
          </w:p>
        </w:tc>
        <w:tc>
          <w:tcPr>
            <w:tcW w:type="dxa" w:w="5170"/>
            <w:vAlign w:val="center"/>
          </w:tcPr>
          <w:p>
            <w:pPr>
              <w:pStyle w:val="Compact"/>
              <w:spacing w:after="20" w:before="0"/>
              <w:jc w:val="left"/>
            </w:pPr>
            <w:r>
              <w:rPr>
                <w:sz w:val="16"/>
              </w:rPr>
              <w:t xml:space="preserve">Capability probing and adapter documentation; no blanket camera-support claim.</w:t>
            </w:r>
          </w:p>
        </w:tc>
      </w:tr>
      <w:tr>
        <w:tc>
          <w:tcPr>
            <w:tcW w:type="dxa" w:w="979"/>
            <w:vAlign w:val="center"/>
          </w:tcPr>
          <w:p>
            <w:pPr>
              <w:pStyle w:val="Compact"/>
              <w:spacing w:after="20" w:before="0"/>
              <w:jc w:val="left"/>
            </w:pPr>
            <w:r>
              <w:rPr>
                <w:sz w:val="16"/>
              </w:rPr>
              <w:t xml:space="preserve">R-06</w:t>
            </w:r>
          </w:p>
        </w:tc>
        <w:tc>
          <w:tcPr>
            <w:tcW w:type="dxa" w:w="3384"/>
            <w:vAlign w:val="center"/>
          </w:tcPr>
          <w:p>
            <w:pPr>
              <w:pStyle w:val="Compact"/>
              <w:spacing w:after="20" w:before="0"/>
              <w:jc w:val="left"/>
            </w:pPr>
            <w:r>
              <w:rPr>
                <w:sz w:val="16"/>
              </w:rPr>
              <w:t xml:space="preserve">Image retention reveals personal or sensitive information</w:t>
            </w:r>
          </w:p>
        </w:tc>
        <w:tc>
          <w:tcPr>
            <w:tcW w:type="dxa" w:w="5170"/>
            <w:vAlign w:val="center"/>
          </w:tcPr>
          <w:p>
            <w:pPr>
              <w:pStyle w:val="Compact"/>
              <w:spacing w:after="20" w:before="0"/>
              <w:jc w:val="left"/>
            </w:pPr>
            <w:r>
              <w:rPr>
                <w:sz w:val="16"/>
              </w:rPr>
              <w:t xml:space="preserve">Masking, access controls, minimisation, limited retention, DPIA and audit.</w:t>
            </w:r>
          </w:p>
        </w:tc>
      </w:tr>
      <w:tr>
        <w:tc>
          <w:tcPr>
            <w:tcW w:type="dxa" w:w="979"/>
            <w:vAlign w:val="center"/>
          </w:tcPr>
          <w:p>
            <w:pPr>
              <w:pStyle w:val="Compact"/>
              <w:spacing w:after="20" w:before="0"/>
              <w:jc w:val="left"/>
            </w:pPr>
            <w:r>
              <w:rPr>
                <w:sz w:val="16"/>
              </w:rPr>
              <w:t xml:space="preserve">R-07</w:t>
            </w:r>
          </w:p>
        </w:tc>
        <w:tc>
          <w:tcPr>
            <w:tcW w:type="dxa" w:w="3384"/>
            <w:vAlign w:val="center"/>
          </w:tcPr>
          <w:p>
            <w:pPr>
              <w:pStyle w:val="Compact"/>
              <w:spacing w:after="20" w:before="0"/>
              <w:jc w:val="left"/>
            </w:pPr>
            <w:r>
              <w:rPr>
                <w:sz w:val="16"/>
              </w:rPr>
              <w:t xml:space="preserve">Slow inference creates a backlog of irrelevant frames</w:t>
            </w:r>
          </w:p>
        </w:tc>
        <w:tc>
          <w:tcPr>
            <w:tcW w:type="dxa" w:w="5170"/>
            <w:vAlign w:val="center"/>
          </w:tcPr>
          <w:p>
            <w:pPr>
              <w:pStyle w:val="Compact"/>
              <w:spacing w:after="20" w:before="0"/>
              <w:jc w:val="left"/>
            </w:pPr>
            <w:r>
              <w:rPr>
                <w:sz w:val="16"/>
              </w:rPr>
              <w:t xml:space="preserve">Priority and capped queue, stale-frame coalescing and measured throughput.</w:t>
            </w:r>
          </w:p>
        </w:tc>
      </w:tr>
      <w:tr>
        <w:tc>
          <w:tcPr>
            <w:tcW w:type="dxa" w:w="979"/>
            <w:vAlign w:val="center"/>
          </w:tcPr>
          <w:p>
            <w:pPr>
              <w:pStyle w:val="Compact"/>
              <w:spacing w:after="20" w:before="0"/>
              <w:jc w:val="left"/>
            </w:pPr>
            <w:r>
              <w:rPr>
                <w:sz w:val="16"/>
              </w:rPr>
              <w:t xml:space="preserve">R-08</w:t>
            </w:r>
          </w:p>
        </w:tc>
        <w:tc>
          <w:tcPr>
            <w:tcW w:type="dxa" w:w="3384"/>
            <w:vAlign w:val="center"/>
          </w:tcPr>
          <w:p>
            <w:pPr>
              <w:pStyle w:val="Compact"/>
              <w:spacing w:after="20" w:before="0"/>
              <w:jc w:val="left"/>
            </w:pPr>
            <w:r>
              <w:rPr>
                <w:sz w:val="16"/>
              </w:rPr>
              <w:t xml:space="preserve">User question is ambiguous or not supported by model</w:t>
            </w:r>
          </w:p>
        </w:tc>
        <w:tc>
          <w:tcPr>
            <w:tcW w:type="dxa" w:w="5170"/>
            <w:vAlign w:val="center"/>
          </w:tcPr>
          <w:p>
            <w:pPr>
              <w:pStyle w:val="Compact"/>
              <w:spacing w:after="20" w:before="0"/>
              <w:jc w:val="left"/>
            </w:pPr>
            <w:r>
              <w:rPr>
                <w:sz w:val="16"/>
              </w:rPr>
              <w:t xml:space="preserve">Question-test UX, answer contract, unsupported status and task-specific evaluation.</w:t>
            </w:r>
          </w:p>
        </w:tc>
      </w:tr>
      <w:tr>
        <w:tc>
          <w:tcPr>
            <w:tcW w:type="dxa" w:w="979"/>
            <w:vAlign w:val="center"/>
          </w:tcPr>
          <w:p>
            <w:pPr>
              <w:pStyle w:val="Compact"/>
              <w:spacing w:after="20" w:before="0"/>
              <w:jc w:val="left"/>
            </w:pPr>
            <w:r>
              <w:rPr>
                <w:sz w:val="16"/>
              </w:rPr>
              <w:t xml:space="preserve">R-09</w:t>
            </w:r>
          </w:p>
        </w:tc>
        <w:tc>
          <w:tcPr>
            <w:tcW w:type="dxa" w:w="3384"/>
            <w:vAlign w:val="center"/>
          </w:tcPr>
          <w:p>
            <w:pPr>
              <w:pStyle w:val="Compact"/>
              <w:spacing w:after="20" w:before="0"/>
              <w:jc w:val="left"/>
            </w:pPr>
            <w:r>
              <w:rPr>
                <w:sz w:val="16"/>
              </w:rPr>
              <w:t xml:space="preserve">Plugin/URL becomes a network/security attack route</w:t>
            </w:r>
          </w:p>
        </w:tc>
        <w:tc>
          <w:tcPr>
            <w:tcW w:type="dxa" w:w="5170"/>
            <w:vAlign w:val="center"/>
          </w:tcPr>
          <w:p>
            <w:pPr>
              <w:pStyle w:val="Compact"/>
              <w:spacing w:after="20" w:before="0"/>
              <w:jc w:val="left"/>
            </w:pPr>
            <w:r>
              <w:rPr>
                <w:sz w:val="16"/>
              </w:rPr>
              <w:t xml:space="preserve">Restricted execution, URL allow-list, server-side validation, secret isolation.</w:t>
            </w:r>
          </w:p>
        </w:tc>
      </w:tr>
      <w:tr>
        <w:tc>
          <w:tcPr>
            <w:tcW w:type="dxa" w:w="979"/>
            <w:vAlign w:val="center"/>
          </w:tcPr>
          <w:p>
            <w:pPr>
              <w:pStyle w:val="Compact"/>
              <w:spacing w:after="20" w:before="0"/>
              <w:jc w:val="left"/>
            </w:pPr>
            <w:r>
              <w:rPr>
                <w:sz w:val="16"/>
              </w:rPr>
              <w:t xml:space="preserve">R-10</w:t>
            </w:r>
          </w:p>
        </w:tc>
        <w:tc>
          <w:tcPr>
            <w:tcW w:type="dxa" w:w="3384"/>
            <w:vAlign w:val="center"/>
          </w:tcPr>
          <w:p>
            <w:pPr>
              <w:pStyle w:val="Compact"/>
              <w:spacing w:after="20" w:before="0"/>
              <w:jc w:val="left"/>
            </w:pPr>
            <w:r>
              <w:rPr>
                <w:sz w:val="16"/>
              </w:rPr>
              <w:t xml:space="preserve">Future enterprise requirements distort small-install design</w:t>
            </w:r>
          </w:p>
        </w:tc>
        <w:tc>
          <w:tcPr>
            <w:tcW w:type="dxa" w:w="5170"/>
            <w:vAlign w:val="center"/>
          </w:tcPr>
          <w:p>
            <w:pPr>
              <w:pStyle w:val="Compact"/>
              <w:spacing w:after="20" w:before="0"/>
              <w:jc w:val="left"/>
            </w:pPr>
            <w:r>
              <w:rPr>
                <w:sz w:val="16"/>
              </w:rPr>
              <w:t xml:space="preserve">Defined contracts with single-process local deployment; scale only after evidence.</w:t>
            </w:r>
          </w:p>
        </w:tc>
      </w:tr>
    </w:tbl>
    <w:bookmarkEnd w:id="96"/>
    <w:bookmarkStart w:id="97" w:name="open-decisions-and-change-control"/>
    <w:p>
      <w:pPr>
        <w:pStyle w:val="Heading2"/>
      </w:pPr>
      <w:r>
        <w:t xml:space="preserve">17. Open decisions and change control</w:t>
      </w:r>
    </w:p>
    <w:p>
      <w:pPr>
        <w:pStyle w:val="FirstParagraph"/>
      </w:pPr>
      <w:r>
        <w:t xml:space="preserve">These items intentionally remain open beyond Phase 0; Codex must record them rather than silently choose irreversible defaults:</w:t>
      </w:r>
    </w:p>
    <w:tbl>
      <w:tblPr>
        <w:tblStyle w:val="Table"/>
        <w:tblW w:type="pct" w:w="5000"/>
        <w:jc w:val="left"/>
        <w:tblLayout w:type="fixed"/>
        <w:tblLook w:firstRow="1" w:lastRow="0" w:firstColumn="0" w:lastColumn="0" w:noHBand="0" w:noVBand="0" w:val="0020"/>
        <w:tblBorders>
          <w:top w:val="single" w:sz="4" w:color="BCC8CD"/>
          <w:left w:val="single" w:sz="4" w:color="BCC8CD"/>
          <w:bottom w:val="single" w:sz="4" w:color="BCC8CD"/>
          <w:right w:val="single" w:sz="4" w:color="BCC8CD"/>
          <w:insideH w:val="single" w:sz="4" w:color="BCC8CD"/>
          <w:insideV w:val="single" w:sz="4" w:color="BCC8CD"/>
        </w:tblBorders>
      </w:tblPr>
      <w:tblGrid>
        <w:gridCol w:w="1008"/>
        <w:gridCol w:w="5472"/>
        <w:gridCol w:w="3053"/>
      </w:tblGrid>
      <w:tr>
        <w:trPr>
          <w:tblHeader w:val="on"/>
          <w:tblHeader w:val="true"/>
        </w:trPr>
        <w:tc>
          <w:tcPr>
            <w:tcW w:type="dxa" w:w="1008"/>
            <w:vAlign w:val="center"/>
          </w:tcPr>
          <w:p>
            <w:pPr>
              <w:pStyle w:val="Compact"/>
              <w:spacing w:after="20" w:before="0"/>
              <w:jc w:val="left"/>
            </w:pPr>
            <w:r>
              <w:rPr>
                <w:b/>
                <w:sz w:val="16"/>
              </w:rPr>
              <w:t xml:space="preserve">Ref</w:t>
            </w:r>
          </w:p>
        </w:tc>
        <w:tc>
          <w:tcPr>
            <w:tcW w:type="dxa" w:w="5472"/>
            <w:vAlign w:val="center"/>
          </w:tcPr>
          <w:p>
            <w:pPr>
              <w:pStyle w:val="Compact"/>
              <w:spacing w:after="20" w:before="0"/>
              <w:jc w:val="left"/>
            </w:pPr>
            <w:r>
              <w:rPr>
                <w:b/>
                <w:sz w:val="16"/>
              </w:rPr>
              <w:t xml:space="preserve">Decision needed</w:t>
            </w:r>
          </w:p>
        </w:tc>
        <w:tc>
          <w:tcPr>
            <w:tcW w:type="dxa" w:w="3053"/>
            <w:vAlign w:val="center"/>
          </w:tcPr>
          <w:p>
            <w:pPr>
              <w:pStyle w:val="Compact"/>
              <w:spacing w:after="20" w:before="0"/>
              <w:jc w:val="left"/>
            </w:pPr>
            <w:r>
              <w:rPr>
                <w:b/>
                <w:sz w:val="16"/>
              </w:rPr>
              <w:t xml:space="preserve">Recommended timing</w:t>
            </w:r>
          </w:p>
        </w:tc>
      </w:tr>
      <w:tr>
        <w:tc>
          <w:tcPr>
            <w:tcW w:type="dxa" w:w="1008"/>
            <w:vAlign w:val="center"/>
          </w:tcPr>
          <w:p>
            <w:pPr>
              <w:pStyle w:val="Compact"/>
              <w:spacing w:after="20" w:before="0"/>
              <w:jc w:val="left"/>
            </w:pPr>
            <w:r>
              <w:rPr>
                <w:sz w:val="16"/>
              </w:rPr>
              <w:t xml:space="preserve">D-01</w:t>
            </w:r>
          </w:p>
        </w:tc>
        <w:tc>
          <w:tcPr>
            <w:tcW w:type="dxa" w:w="5472"/>
            <w:vAlign w:val="center"/>
          </w:tcPr>
          <w:p>
            <w:pPr>
              <w:pStyle w:val="Compact"/>
              <w:spacing w:after="20" w:before="0"/>
              <w:jc w:val="left"/>
            </w:pPr>
            <w:r>
              <w:rPr>
                <w:sz w:val="16"/>
              </w:rPr>
              <w:t xml:space="preserve">Product name, repository location and final open-source licence</w:t>
            </w:r>
          </w:p>
        </w:tc>
        <w:tc>
          <w:tcPr>
            <w:tcW w:type="dxa" w:w="3053"/>
            <w:vAlign w:val="center"/>
          </w:tcPr>
          <w:p>
            <w:pPr>
              <w:pStyle w:val="Compact"/>
              <w:spacing w:after="20" w:before="0"/>
              <w:jc w:val="left"/>
            </w:pPr>
            <w:r>
              <w:rPr>
                <w:sz w:val="16"/>
              </w:rPr>
              <w:t xml:space="preserve">Before public repository/release.</w:t>
            </w:r>
          </w:p>
        </w:tc>
      </w:tr>
      <w:tr>
        <w:tc>
          <w:tcPr>
            <w:tcW w:type="dxa" w:w="1008"/>
            <w:vAlign w:val="center"/>
          </w:tcPr>
          <w:p>
            <w:pPr>
              <w:pStyle w:val="Compact"/>
              <w:spacing w:after="20" w:before="0"/>
              <w:jc w:val="left"/>
            </w:pPr>
            <w:r>
              <w:rPr>
                <w:sz w:val="16"/>
              </w:rPr>
              <w:t xml:space="preserve">D-02</w:t>
            </w:r>
          </w:p>
        </w:tc>
        <w:tc>
          <w:tcPr>
            <w:tcW w:type="dxa" w:w="5472"/>
            <w:vAlign w:val="center"/>
          </w:tcPr>
          <w:p>
            <w:pPr>
              <w:pStyle w:val="Compact"/>
              <w:spacing w:after="20" w:before="0"/>
              <w:jc w:val="left"/>
            </w:pPr>
            <w:r>
              <w:rPr>
                <w:sz w:val="16"/>
              </w:rPr>
              <w:t xml:space="preserve">Minimum supported Python, Windows, Linux and CPU runtime versions</w:t>
            </w:r>
          </w:p>
        </w:tc>
        <w:tc>
          <w:tcPr>
            <w:tcW w:type="dxa" w:w="3053"/>
            <w:vAlign w:val="center"/>
          </w:tcPr>
          <w:p>
            <w:pPr>
              <w:pStyle w:val="Compact"/>
              <w:spacing w:after="20" w:before="0"/>
              <w:jc w:val="left"/>
            </w:pPr>
            <w:r>
              <w:rPr>
                <w:sz w:val="16"/>
              </w:rPr>
              <w:t xml:space="preserve">After Phase 0.</w:t>
            </w:r>
          </w:p>
        </w:tc>
      </w:tr>
      <w:tr>
        <w:tc>
          <w:tcPr>
            <w:tcW w:type="dxa" w:w="1008"/>
            <w:vAlign w:val="center"/>
          </w:tcPr>
          <w:p>
            <w:pPr>
              <w:pStyle w:val="Compact"/>
              <w:spacing w:after="20" w:before="0"/>
              <w:jc w:val="left"/>
            </w:pPr>
            <w:r>
              <w:rPr>
                <w:sz w:val="16"/>
              </w:rPr>
              <w:t xml:space="preserve">D-03</w:t>
            </w:r>
          </w:p>
        </w:tc>
        <w:tc>
          <w:tcPr>
            <w:tcW w:type="dxa" w:w="5472"/>
            <w:vAlign w:val="center"/>
          </w:tcPr>
          <w:p>
            <w:pPr>
              <w:pStyle w:val="Compact"/>
              <w:spacing w:after="20" w:before="0"/>
              <w:jc w:val="left"/>
            </w:pPr>
            <w:r>
              <w:rPr>
                <w:sz w:val="16"/>
              </w:rPr>
              <w:t xml:space="preserve">Preferred d1-3B checkpoint and any CPU quantisation path</w:t>
            </w:r>
          </w:p>
        </w:tc>
        <w:tc>
          <w:tcPr>
            <w:tcW w:type="dxa" w:w="3053"/>
            <w:vAlign w:val="center"/>
          </w:tcPr>
          <w:p>
            <w:pPr>
              <w:pStyle w:val="Compact"/>
              <w:spacing w:after="20" w:before="0"/>
              <w:jc w:val="left"/>
            </w:pPr>
            <w:r>
              <w:rPr>
                <w:sz w:val="16"/>
              </w:rPr>
              <w:t xml:space="preserve">After compatibility and memory benchmarks.</w:t>
            </w:r>
          </w:p>
        </w:tc>
      </w:tr>
      <w:tr>
        <w:tc>
          <w:tcPr>
            <w:tcW w:type="dxa" w:w="1008"/>
            <w:vAlign w:val="center"/>
          </w:tcPr>
          <w:p>
            <w:pPr>
              <w:pStyle w:val="Compact"/>
              <w:spacing w:after="20" w:before="0"/>
              <w:jc w:val="left"/>
            </w:pPr>
            <w:r>
              <w:rPr>
                <w:sz w:val="16"/>
              </w:rPr>
              <w:t xml:space="preserve">D-04</w:t>
            </w:r>
          </w:p>
        </w:tc>
        <w:tc>
          <w:tcPr>
            <w:tcW w:type="dxa" w:w="5472"/>
            <w:vAlign w:val="center"/>
          </w:tcPr>
          <w:p>
            <w:pPr>
              <w:pStyle w:val="Compact"/>
              <w:spacing w:after="20" w:before="0"/>
              <w:jc w:val="left"/>
            </w:pPr>
            <w:r>
              <w:rPr>
                <w:sz w:val="16"/>
              </w:rPr>
              <w:t xml:space="preserve">Exact notification transports and default retention durations</w:t>
            </w:r>
          </w:p>
        </w:tc>
        <w:tc>
          <w:tcPr>
            <w:tcW w:type="dxa" w:w="3053"/>
            <w:vAlign w:val="center"/>
          </w:tcPr>
          <w:p>
            <w:pPr>
              <w:pStyle w:val="Compact"/>
              <w:spacing w:after="20" w:before="0"/>
              <w:jc w:val="left"/>
            </w:pPr>
            <w:r>
              <w:rPr>
                <w:sz w:val="16"/>
              </w:rPr>
              <w:t xml:space="preserve">During MVP security/privacy design.</w:t>
            </w:r>
          </w:p>
        </w:tc>
      </w:tr>
      <w:tr>
        <w:tc>
          <w:tcPr>
            <w:tcW w:type="dxa" w:w="1008"/>
            <w:vAlign w:val="center"/>
          </w:tcPr>
          <w:p>
            <w:pPr>
              <w:pStyle w:val="Compact"/>
              <w:spacing w:after="20" w:before="0"/>
              <w:jc w:val="left"/>
            </w:pPr>
            <w:r>
              <w:rPr>
                <w:sz w:val="16"/>
              </w:rPr>
              <w:t xml:space="preserve">D-05</w:t>
            </w:r>
          </w:p>
        </w:tc>
        <w:tc>
          <w:tcPr>
            <w:tcW w:type="dxa" w:w="5472"/>
            <w:vAlign w:val="center"/>
          </w:tcPr>
          <w:p>
            <w:pPr>
              <w:pStyle w:val="Compact"/>
              <w:spacing w:after="20" w:before="0"/>
              <w:jc w:val="left"/>
            </w:pPr>
            <w:r>
              <w:rPr>
                <w:sz w:val="16"/>
              </w:rPr>
              <w:t xml:space="preserve">Calibration/accuracy targets for each real monitoring use case</w:t>
            </w:r>
          </w:p>
        </w:tc>
        <w:tc>
          <w:tcPr>
            <w:tcW w:type="dxa" w:w="3053"/>
            <w:vAlign w:val="center"/>
          </w:tcPr>
          <w:p>
            <w:pPr>
              <w:pStyle w:val="Compact"/>
              <w:spacing w:after="20" w:before="0"/>
              <w:jc w:val="left"/>
            </w:pPr>
            <w:r>
              <w:rPr>
                <w:sz w:val="16"/>
              </w:rPr>
              <w:t xml:space="preserve">Before production deployment of that use case.</w:t>
            </w:r>
          </w:p>
        </w:tc>
      </w:tr>
      <w:tr>
        <w:tc>
          <w:tcPr>
            <w:tcW w:type="dxa" w:w="1008"/>
            <w:vAlign w:val="center"/>
          </w:tcPr>
          <w:p>
            <w:pPr>
              <w:pStyle w:val="Compact"/>
              <w:spacing w:after="20" w:before="0"/>
              <w:jc w:val="left"/>
            </w:pPr>
            <w:r>
              <w:rPr>
                <w:sz w:val="16"/>
              </w:rPr>
              <w:t xml:space="preserve">D-06</w:t>
            </w:r>
          </w:p>
        </w:tc>
        <w:tc>
          <w:tcPr>
            <w:tcW w:type="dxa" w:w="5472"/>
            <w:vAlign w:val="center"/>
          </w:tcPr>
          <w:p>
            <w:pPr>
              <w:pStyle w:val="Compact"/>
              <w:spacing w:after="20" w:before="0"/>
              <w:jc w:val="left"/>
            </w:pPr>
            <w:r>
              <w:rPr>
                <w:sz w:val="16"/>
              </w:rPr>
              <w:t xml:space="preserve">Multi-user access model and SSO integration</w:t>
            </w:r>
          </w:p>
        </w:tc>
        <w:tc>
          <w:tcPr>
            <w:tcW w:type="dxa" w:w="3053"/>
            <w:vAlign w:val="center"/>
          </w:tcPr>
          <w:p>
            <w:pPr>
              <w:pStyle w:val="Compact"/>
              <w:spacing w:after="20" w:before="0"/>
              <w:jc w:val="left"/>
            </w:pPr>
            <w:r>
              <w:rPr>
                <w:sz w:val="16"/>
              </w:rPr>
              <w:t xml:space="preserve">Before enterprise pilot.</w:t>
            </w:r>
          </w:p>
        </w:tc>
      </w:tr>
      <w:tr>
        <w:tc>
          <w:tcPr>
            <w:tcW w:type="dxa" w:w="1008"/>
            <w:vAlign w:val="center"/>
          </w:tcPr>
          <w:p>
            <w:pPr>
              <w:pStyle w:val="Compact"/>
              <w:spacing w:after="20" w:before="0"/>
              <w:jc w:val="left"/>
            </w:pPr>
            <w:r>
              <w:rPr>
                <w:sz w:val="16"/>
              </w:rPr>
              <w:t xml:space="preserve">D-07</w:t>
            </w:r>
          </w:p>
        </w:tc>
        <w:tc>
          <w:tcPr>
            <w:tcW w:type="dxa" w:w="5472"/>
            <w:vAlign w:val="center"/>
          </w:tcPr>
          <w:p>
            <w:pPr>
              <w:pStyle w:val="Compact"/>
              <w:spacing w:after="20" w:before="0"/>
              <w:jc w:val="left"/>
            </w:pPr>
            <w:r>
              <w:rPr>
                <w:sz w:val="16"/>
              </w:rPr>
              <w:t xml:space="preserve">Camera network permissions, signage, lawful basis and DPIA</w:t>
            </w:r>
          </w:p>
        </w:tc>
        <w:tc>
          <w:tcPr>
            <w:tcW w:type="dxa" w:w="3053"/>
            <w:vAlign w:val="center"/>
          </w:tcPr>
          <w:p>
            <w:pPr>
              <w:pStyle w:val="Compact"/>
              <w:spacing w:after="20" w:before="0"/>
              <w:jc w:val="left"/>
            </w:pPr>
            <w:r>
              <w:rPr>
                <w:sz w:val="16"/>
              </w:rPr>
              <w:t xml:space="preserve">Before workplace cameras are connected.</w:t>
            </w:r>
          </w:p>
        </w:tc>
      </w:tr>
      <w:tr>
        <w:tc>
          <w:tcPr>
            <w:tcW w:type="dxa" w:w="1008"/>
            <w:vAlign w:val="center"/>
          </w:tcPr>
          <w:p>
            <w:pPr>
              <w:pStyle w:val="Compact"/>
              <w:spacing w:after="20" w:before="0"/>
              <w:jc w:val="left"/>
            </w:pPr>
            <w:r>
              <w:rPr>
                <w:sz w:val="16"/>
              </w:rPr>
              <w:t xml:space="preserve">D-08</w:t>
            </w:r>
          </w:p>
        </w:tc>
        <w:tc>
          <w:tcPr>
            <w:tcW w:type="dxa" w:w="5472"/>
            <w:vAlign w:val="center"/>
          </w:tcPr>
          <w:p>
            <w:pPr>
              <w:pStyle w:val="Compact"/>
              <w:spacing w:after="20" w:before="0"/>
              <w:jc w:val="left"/>
            </w:pPr>
            <w:r>
              <w:rPr>
                <w:sz w:val="16"/>
              </w:rPr>
              <w:t xml:space="preserve">Whether to include optional sensors/audio/desktop captures</w:t>
            </w:r>
          </w:p>
        </w:tc>
        <w:tc>
          <w:tcPr>
            <w:tcW w:type="dxa" w:w="3053"/>
            <w:vAlign w:val="center"/>
          </w:tcPr>
          <w:p>
            <w:pPr>
              <w:pStyle w:val="Compact"/>
              <w:spacing w:after="20" w:before="0"/>
              <w:jc w:val="left"/>
            </w:pPr>
            <w:r>
              <w:rPr>
                <w:sz w:val="16"/>
              </w:rPr>
              <w:t xml:space="preserve">After initial visual architecture proves useful.</w:t>
            </w:r>
          </w:p>
        </w:tc>
      </w:tr>
      <w:tr>
        <w:tc>
          <w:tcPr>
            <w:tcW w:type="dxa" w:w="1008"/>
            <w:vAlign w:val="center"/>
          </w:tcPr>
          <w:p>
            <w:pPr>
              <w:pStyle w:val="Compact"/>
              <w:spacing w:after="20" w:before="0"/>
              <w:jc w:val="left"/>
            </w:pPr>
            <w:r>
              <w:rPr>
                <w:sz w:val="16"/>
              </w:rPr>
              <w:t xml:space="preserve">D-09</w:t>
            </w:r>
          </w:p>
        </w:tc>
        <w:tc>
          <w:tcPr>
            <w:tcW w:type="dxa" w:w="5472"/>
            <w:vAlign w:val="center"/>
          </w:tcPr>
          <w:p>
            <w:pPr>
              <w:pStyle w:val="Compact"/>
              <w:spacing w:after="20" w:before="0"/>
              <w:jc w:val="left"/>
            </w:pPr>
            <w:r>
              <w:rPr>
                <w:sz w:val="16"/>
              </w:rPr>
              <w:t xml:space="preserve">Review LFM Open License v1.0 and any alternative engine/model licence for intended workplace/commercial use and redistribution</w:t>
            </w:r>
          </w:p>
        </w:tc>
        <w:tc>
          <w:tcPr>
            <w:tcW w:type="dxa" w:w="3053"/>
            <w:vAlign w:val="center"/>
          </w:tcPr>
          <w:p>
            <w:pPr>
              <w:pStyle w:val="Compact"/>
              <w:spacing w:after="20" w:before="0"/>
              <w:jc w:val="left"/>
            </w:pPr>
            <w:r>
              <w:rPr>
                <w:sz w:val="16"/>
              </w:rPr>
              <w:t xml:space="preserve">Before model packaging, distribution or workplace deployment.</w:t>
            </w:r>
          </w:p>
        </w:tc>
      </w:tr>
    </w:tbl>
    <w:p>
      <w:pPr>
        <w:pStyle w:val="BodyText"/>
      </w:pPr>
      <w:r>
        <w:rPr>
          <w:b/>
          <w:bCs/>
        </w:rPr>
        <w:t xml:space="preserve">Change-control rule:</w:t>
      </w:r>
      <w:r>
        <w:t xml:space="preserve"> </w:t>
      </w:r>
      <w:r>
        <w:t xml:space="preserve">A requirement ID is never reused for an unrelated requirement. Material changes update the version, rationale, affected test cases and migration implications. Architectural decisions that close an open item should be captured in a short ADR (architecture decision record).</w:t>
      </w:r>
    </w:p>
    <w:bookmarkEnd w:id="97"/>
    <w:bookmarkStart w:id="98" w:name="sources-and-verification-notes"/>
    <w:p>
      <w:pPr>
        <w:pStyle w:val="Heading2"/>
      </w:pPr>
      <w:r>
        <w:t xml:space="preserve">18. Sources and verification notes</w:t>
      </w:r>
    </w:p>
    <w:p>
      <w:pPr>
        <w:pStyle w:val="FirstParagraph"/>
      </w:pPr>
      <w:r>
        <w:t xml:space="preserve">The following references were reviewed on</w:t>
      </w:r>
      <w:r>
        <w:t xml:space="preserve"> </w:t>
      </w:r>
      <w:r>
        <w:rPr>
          <w:b/>
          <w:bCs/>
        </w:rPr>
        <w:t xml:space="preserve">13 October 2026</w:t>
      </w:r>
      <w:r>
        <w:t xml:space="preserve">. External statements in this document are limited to their documented product capabilities and legal guidance; proposed implementation choices are our own design decisions.</w:t>
      </w:r>
    </w:p>
    <w:p>
      <w:pPr>
        <w:pStyle w:val="Compact"/>
        <w:numPr>
          <w:ilvl w:val="0"/>
          <w:numId w:val="1013"/>
        </w:numPr>
      </w:pPr>
      <w:r>
        <w:rPr>
          <w:b/>
          <w:bCs/>
        </w:rPr>
        <w:t xml:space="preserve">[SRC-01]</w:t>
      </w:r>
      <w:r>
        <w:t xml:space="preserve"> </w:t>
      </w:r>
      <w:r>
        <w:t xml:space="preserve">Liquid AI / Hugging Face,</w:t>
      </w:r>
      <w:r>
        <w:t xml:space="preserve"> </w:t>
      </w:r>
      <w:r>
        <w:rPr>
          <w:i/>
          <w:iCs/>
        </w:rPr>
        <w:t xml:space="preserve">LiquidAI/d1-3B model card</w:t>
      </w:r>
      <w:r>
        <w:t xml:space="preserve"> </w:t>
      </w:r>
      <w:r>
        <w:t xml:space="preserve">— multimodal image/text model,</w:t>
      </w:r>
      <w:r>
        <w:t xml:space="preserve"> </w:t>
      </w:r>
      <w:r>
        <w:rPr>
          <w:rStyle w:val="VerbatimChar"/>
        </w:rPr>
        <w:t xml:space="preserve">system_one</w:t>
      </w:r>
      <w:r>
        <w:t xml:space="preserve">, question types</w:t>
      </w:r>
      <w:r>
        <w:t xml:space="preserve"> </w:t>
      </w:r>
      <w:r>
        <w:rPr>
          <w:rStyle w:val="VerbatimChar"/>
        </w:rPr>
        <w:t xml:space="preserve">noul</w:t>
      </w:r>
      <w:r>
        <w:t xml:space="preserve">/</w:t>
      </w:r>
      <w:r>
        <w:rPr>
          <w:rStyle w:val="VerbatimChar"/>
        </w:rPr>
        <w:t xml:space="preserve">choice</w:t>
      </w:r>
      <w:r>
        <w:t xml:space="preserve">/</w:t>
      </w:r>
      <w:r>
        <w:rPr>
          <w:rStyle w:val="VerbatimChar"/>
        </w:rPr>
        <w:t xml:space="preserve">score</w:t>
      </w:r>
      <w:r>
        <w:t xml:space="preserve">, CPU selection and Python dependencies. https://huggingface.co/LiquidAI/d1-3B</w:t>
      </w:r>
    </w:p>
    <w:p>
      <w:pPr>
        <w:pStyle w:val="Compact"/>
        <w:numPr>
          <w:ilvl w:val="0"/>
          <w:numId w:val="1013"/>
        </w:numPr>
      </w:pPr>
      <w:r>
        <w:rPr>
          <w:b/>
          <w:bCs/>
        </w:rPr>
        <w:t xml:space="preserve">[SRC-02]</w:t>
      </w:r>
      <w:r>
        <w:t xml:space="preserve"> </w:t>
      </w:r>
      <w:r>
        <w:t xml:space="preserve">Tapo,</w:t>
      </w:r>
      <w:r>
        <w:t xml:space="preserve"> </w:t>
      </w:r>
      <w:r>
        <w:rPr>
          <w:i/>
          <w:iCs/>
        </w:rPr>
        <w:t xml:space="preserve">Tapo Camera ONVIF and RTSP Common Questions Answered</w:t>
      </w:r>
      <w:r>
        <w:t xml:space="preserve">, updated 29 September 2026 — supported wired models, standard RTSP access, battery-model limits and streaming constraints. https://www.tapo.com/uk/faqs/tapo-camera-onvif-and-rtsp-common-questions-answered/</w:t>
      </w:r>
    </w:p>
    <w:p>
      <w:pPr>
        <w:pStyle w:val="Compact"/>
        <w:numPr>
          <w:ilvl w:val="0"/>
          <w:numId w:val="1013"/>
        </w:numPr>
      </w:pPr>
      <w:r>
        <w:rPr>
          <w:b/>
          <w:bCs/>
        </w:rPr>
        <w:t xml:space="preserve">[SRC-03]</w:t>
      </w:r>
      <w:r>
        <w:t xml:space="preserve"> </w:t>
      </w:r>
      <w:r>
        <w:t xml:space="preserve">ONVIF,</w:t>
      </w:r>
      <w:r>
        <w:t xml:space="preserve"> </w:t>
      </w:r>
      <w:r>
        <w:rPr>
          <w:i/>
          <w:iCs/>
        </w:rPr>
        <w:t xml:space="preserve">Profiles</w:t>
      </w:r>
      <w:r>
        <w:t xml:space="preserve"> </w:t>
      </w:r>
      <w:r>
        <w:t xml:space="preserve">and</w:t>
      </w:r>
      <w:r>
        <w:t xml:space="preserve"> </w:t>
      </w:r>
      <w:r>
        <w:rPr>
          <w:i/>
          <w:iCs/>
        </w:rPr>
        <w:t xml:space="preserve">Profile T</w:t>
      </w:r>
      <w:r>
        <w:t xml:space="preserve"> </w:t>
      </w:r>
      <w:r>
        <w:t xml:space="preserve">— camera profile interoperability and capabilities. https://www.onvif.org/profiles/ and https://www.onvif.org/profiles/profile-t/</w:t>
      </w:r>
    </w:p>
    <w:p>
      <w:pPr>
        <w:pStyle w:val="Compact"/>
        <w:numPr>
          <w:ilvl w:val="0"/>
          <w:numId w:val="1013"/>
        </w:numPr>
      </w:pPr>
      <w:r>
        <w:rPr>
          <w:b/>
          <w:bCs/>
        </w:rPr>
        <w:t xml:space="preserve">[SRC-04]</w:t>
      </w:r>
      <w:r>
        <w:t xml:space="preserve"> </w:t>
      </w:r>
      <w:r>
        <w:t xml:space="preserve">ONVIF,</w:t>
      </w:r>
      <w:r>
        <w:t xml:space="preserve"> </w:t>
      </w:r>
      <w:r>
        <w:rPr>
          <w:i/>
          <w:iCs/>
        </w:rPr>
        <w:t xml:space="preserve">ONVIF to End Support for Profile S; Recommends Profile T as Replacement</w:t>
      </w:r>
      <w:r>
        <w:t xml:space="preserve">, 9 October 2025. https://www.onvif.org/pressrelease/onvif-to-end-support-for-profile-s/</w:t>
      </w:r>
    </w:p>
    <w:p>
      <w:pPr>
        <w:pStyle w:val="Compact"/>
        <w:numPr>
          <w:ilvl w:val="0"/>
          <w:numId w:val="1013"/>
        </w:numPr>
      </w:pPr>
      <w:r>
        <w:rPr>
          <w:b/>
          <w:bCs/>
        </w:rPr>
        <w:t xml:space="preserve">[SRC-05]</w:t>
      </w:r>
      <w:r>
        <w:t xml:space="preserve"> </w:t>
      </w:r>
      <w:r>
        <w:t xml:space="preserve">UK Information Commissioner’s Office,</w:t>
      </w:r>
      <w:r>
        <w:t xml:space="preserve"> </w:t>
      </w:r>
      <w:r>
        <w:rPr>
          <w:i/>
          <w:iCs/>
        </w:rPr>
        <w:t xml:space="preserve">Specific data protection considerations for different ways or methods of monitoring workers</w:t>
      </w:r>
      <w:r>
        <w:t xml:space="preserve"> </w:t>
      </w:r>
      <w:r>
        <w:t xml:space="preserve">— video/audio monitoring, consultation and DPIA. https://ico.org.uk/for-organisations/uk-gdpr-guidance-and-resources/employment/monitoring-workers/specific-data-protection-considerations-for-different-ways-or-methods-of-monitoring-workers/</w:t>
      </w:r>
    </w:p>
    <w:p>
      <w:pPr>
        <w:pStyle w:val="Compact"/>
        <w:numPr>
          <w:ilvl w:val="0"/>
          <w:numId w:val="1013"/>
        </w:numPr>
      </w:pPr>
      <w:r>
        <w:rPr>
          <w:b/>
          <w:bCs/>
        </w:rPr>
        <w:t xml:space="preserve">[SRC-06]</w:t>
      </w:r>
      <w:r>
        <w:t xml:space="preserve"> </w:t>
      </w:r>
      <w:r>
        <w:t xml:space="preserve">UK Information Commissioner’s Office,</w:t>
      </w:r>
      <w:r>
        <w:t xml:space="preserve"> </w:t>
      </w:r>
      <w:r>
        <w:rPr>
          <w:i/>
          <w:iCs/>
        </w:rPr>
        <w:t xml:space="preserve">What are our responsibilities in terms of accountability?</w:t>
      </w:r>
      <w:r>
        <w:t xml:space="preserve"> </w:t>
      </w:r>
      <w:r>
        <w:t xml:space="preserve">— video surveillance accountability and DPIA triggers. https://ico.org.uk/for-organisations/uk-gdpr-guidance-and-resources/cctv-and-video-surveillance/guidance-on-video-surveillance-including-cctv/what-are-our-responsibilities-in-terms-of-accountability/</w:t>
      </w:r>
    </w:p>
    <w:p>
      <w:pPr>
        <w:pStyle w:val="Compact"/>
        <w:numPr>
          <w:ilvl w:val="0"/>
          <w:numId w:val="1013"/>
        </w:numPr>
      </w:pPr>
      <w:r>
        <w:rPr>
          <w:b/>
          <w:bCs/>
        </w:rPr>
        <w:t xml:space="preserve">[SRC-07]</w:t>
      </w:r>
      <w:r>
        <w:t xml:space="preserve"> </w:t>
      </w:r>
      <w:r>
        <w:t xml:space="preserve">Liquid AI,</w:t>
      </w:r>
      <w:r>
        <w:t xml:space="preserve"> </w:t>
      </w:r>
      <w:r>
        <w:rPr>
          <w:i/>
          <w:iCs/>
        </w:rPr>
        <w:t xml:space="preserve">Open d1: Edge decision models for text, vision, and audio</w:t>
      </w:r>
      <w:r>
        <w:t xml:space="preserve">, 7 October 2026 — model positioning and released variants; hardware speed figures are vendor claims, not Dell CPU estimates. https://www.liquid.ai/blog/d1-open</w:t>
      </w:r>
    </w:p>
    <w:p>
      <w:pPr>
        <w:pStyle w:val="Compact"/>
        <w:numPr>
          <w:ilvl w:val="0"/>
          <w:numId w:val="1013"/>
        </w:numPr>
      </w:pPr>
      <w:r>
        <w:rPr>
          <w:b/>
          <w:bCs/>
        </w:rPr>
        <w:t xml:space="preserve">[SRC-08]</w:t>
      </w:r>
      <w:r>
        <w:t xml:space="preserve"> </w:t>
      </w:r>
      <w:r>
        <w:t xml:space="preserve">Liquid AI,</w:t>
      </w:r>
      <w:r>
        <w:t xml:space="preserve"> </w:t>
      </w:r>
      <w:r>
        <w:rPr>
          <w:i/>
          <w:iCs/>
        </w:rPr>
        <w:t xml:space="preserve">LFM Open License v1.0</w:t>
      </w:r>
      <w:r>
        <w:t xml:space="preserve">, as linked from the d1-3B checkpoint — terms governing the</w:t>
      </w:r>
      <w:r>
        <w:t xml:space="preserve"> </w:t>
      </w:r>
      <w:r>
        <w:rPr>
          <w:b/>
          <w:bCs/>
        </w:rPr>
        <w:t xml:space="preserve">model</w:t>
      </w:r>
      <w:r>
        <w:t xml:space="preserve">, including commercial-use restrictions and redistribution conditions; requires use-case-specific licence review. https://huggingface.co/LiquidAI/d1-3B/blob/main/LICENSE</w:t>
      </w:r>
    </w:p>
    <w:p>
      <w:pPr>
        <w:pStyle w:val="Compact"/>
        <w:numPr>
          <w:ilvl w:val="0"/>
          <w:numId w:val="1013"/>
        </w:numPr>
      </w:pPr>
      <w:r>
        <w:rPr>
          <w:b/>
          <w:bCs/>
        </w:rPr>
        <w:t xml:space="preserve">[SRC-09]</w:t>
      </w:r>
      <w:r>
        <w:t xml:space="preserve"> </w:t>
      </w:r>
      <w:r>
        <w:t xml:space="preserve">OpenAI,</w:t>
      </w:r>
      <w:r>
        <w:t xml:space="preserve"> </w:t>
      </w:r>
      <w:r>
        <w:rPr>
          <w:i/>
          <w:iCs/>
        </w:rPr>
        <w:t xml:space="preserve">Using GPT-6 / Using AGENTS.md</w:t>
      </w:r>
      <w:r>
        <w:t xml:space="preserve"> </w:t>
      </w:r>
      <w:r>
        <w:t xml:space="preserve">— Codex’s repository-local instruction discovery, informing the included</w:t>
      </w:r>
      <w:r>
        <w:t xml:space="preserve"> </w:t>
      </w:r>
      <w:r>
        <w:rPr>
          <w:rStyle w:val="VerbatimChar"/>
        </w:rPr>
        <w:t xml:space="preserve">AGENTS.md</w:t>
      </w:r>
      <w:r>
        <w:t xml:space="preserve"> </w:t>
      </w:r>
      <w:r>
        <w:t xml:space="preserve">design. https://developers.openai.com/api/docs/guides/latest-model</w:t>
      </w:r>
    </w:p>
    <w:p>
      <w:r>
        <w:pict>
          <v:rect style="width:0;height:1.5pt" o:hralign="center" o:hrstd="t" o:hr="t"/>
        </w:pict>
      </w:r>
    </w:p>
    <w:bookmarkEnd w:id="98"/>
    <w:bookmarkStart w:id="99" w:name="X2cacad25709dd9776d10882c7bde115c45f4640"/>
    <w:p>
      <w:pPr>
        <w:pStyle w:val="Heading2"/>
      </w:pPr>
      <w:r>
        <w:t xml:space="preserve">Appendix A. Phase 0 implementation handoff and acceptance hierarchy</w:t>
      </w:r>
    </w:p>
    <w:p>
      <w:pPr>
        <w:pStyle w:val="Compact"/>
        <w:numPr>
          <w:ilvl w:val="0"/>
          <w:numId w:val="1014"/>
        </w:numPr>
      </w:pPr>
      <w:r>
        <w:rPr>
          <w:b/>
          <w:bCs/>
        </w:rPr>
        <w:t xml:space="preserve">Controlling assignment:</w:t>
      </w:r>
      <w:r>
        <w:t xml:space="preserve"> </w:t>
      </w:r>
      <w:r>
        <w:rPr>
          <w:rStyle w:val="VerbatimChar"/>
        </w:rPr>
        <w:t xml:space="preserve">CODEX_PHASE_0.md</w:t>
      </w:r>
      <w:r>
        <w:t xml:space="preserve"> </w:t>
      </w:r>
      <w:r>
        <w:t xml:space="preserve">lists scope, expected contracts, opt-in benchmarking rules, deliverables, ten P0 acceptance gates and the exact</w:t>
      </w:r>
      <w:r>
        <w:t xml:space="preserve"> </w:t>
      </w:r>
      <w:r>
        <w:rPr>
          <w:rStyle w:val="VerbatimChar"/>
        </w:rPr>
        <w:t xml:space="preserve">GO / CONDITIONAL GO / NO-GO</w:t>
      </w:r>
      <w:r>
        <w:t xml:space="preserve"> </w:t>
      </w:r>
      <w:r>
        <w:t xml:space="preserve">exit report.</w:t>
      </w:r>
    </w:p>
    <w:p>
      <w:pPr>
        <w:pStyle w:val="Compact"/>
        <w:numPr>
          <w:ilvl w:val="0"/>
          <w:numId w:val="1014"/>
        </w:numPr>
      </w:pPr>
      <w:r>
        <w:rPr>
          <w:b/>
          <w:bCs/>
        </w:rPr>
        <w:t xml:space="preserve">Repository guidance:</w:t>
      </w:r>
      <w:r>
        <w:t xml:space="preserve"> </w:t>
      </w:r>
      <w:r>
        <w:rPr>
          <w:rStyle w:val="VerbatimChar"/>
        </w:rPr>
        <w:t xml:space="preserve">AGENTS.md</w:t>
      </w:r>
      <w:r>
        <w:t xml:space="preserve"> </w:t>
      </w:r>
      <w:r>
        <w:t xml:space="preserve">defines permanent coding-agent boundaries;</w:t>
      </w:r>
      <w:r>
        <w:t xml:space="preserve"> </w:t>
      </w:r>
      <w:r>
        <w:rPr>
          <w:rStyle w:val="VerbatimChar"/>
        </w:rPr>
        <w:t xml:space="preserve">CODEX_START_PROMPT.md</w:t>
      </w:r>
      <w:r>
        <w:t xml:space="preserve"> </w:t>
      </w:r>
      <w:r>
        <w:t xml:space="preserve">supplies the initial task text. In an established repository, merge these carefully with any existing project instructions rather than overwriting them blindly.</w:t>
      </w:r>
    </w:p>
    <w:p>
      <w:pPr>
        <w:pStyle w:val="Compact"/>
        <w:numPr>
          <w:ilvl w:val="0"/>
          <w:numId w:val="1014"/>
        </w:numPr>
      </w:pPr>
      <w:r>
        <w:rPr>
          <w:b/>
          <w:bCs/>
        </w:rPr>
        <w:t xml:space="preserve">Normative hierarchy:</w:t>
      </w:r>
      <w:r>
        <w:t xml:space="preserve"> </w:t>
      </w:r>
      <w:r>
        <w:t xml:space="preserve">For</w:t>
      </w:r>
      <w:r>
        <w:t xml:space="preserve"> </w:t>
      </w:r>
      <w:r>
        <w:rPr>
          <w:b/>
          <w:bCs/>
        </w:rPr>
        <w:t xml:space="preserve">Phase 0 scope</w:t>
      </w:r>
      <w:r>
        <w:t xml:space="preserve">,</w:t>
      </w:r>
      <w:r>
        <w:t xml:space="preserve"> </w:t>
      </w:r>
      <w:r>
        <w:rPr>
          <w:rStyle w:val="VerbatimChar"/>
        </w:rPr>
        <w:t xml:space="preserve">CODEX_PHASE_0.md</w:t>
      </w:r>
      <w:r>
        <w:t xml:space="preserve"> </w:t>
      </w:r>
      <w:r>
        <w:t xml:space="preserve">overrides the wider SRS implementation roadmap. For</w:t>
      </w:r>
      <w:r>
        <w:t xml:space="preserve"> </w:t>
      </w:r>
      <w:r>
        <w:rPr>
          <w:b/>
          <w:bCs/>
        </w:rPr>
        <w:t xml:space="preserve">future product behaviour</w:t>
      </w:r>
      <w:r>
        <w:t xml:space="preserve">, the numbered SRS requirements remain authoritative. Code examples, diagrams and</w:t>
      </w:r>
      <w:r>
        <w:t xml:space="preserve"> </w:t>
      </w:r>
      <w:r>
        <w:rPr>
          <w:rStyle w:val="VerbatimChar"/>
        </w:rPr>
        <w:t xml:space="preserve">plugin-contracts.yaml</w:t>
      </w:r>
      <w:r>
        <w:t xml:space="preserve"> </w:t>
      </w:r>
      <w:r>
        <w:t xml:space="preserve">are illustrative unless a phase-specific acceptance test makes them binding.</w:t>
      </w:r>
    </w:p>
    <w:p>
      <w:pPr>
        <w:pStyle w:val="Compact"/>
        <w:numPr>
          <w:ilvl w:val="0"/>
          <w:numId w:val="1014"/>
        </w:numPr>
      </w:pPr>
      <w:r>
        <w:rPr>
          <w:b/>
          <w:bCs/>
        </w:rPr>
        <w:t xml:space="preserve">Evidence standard:</w:t>
      </w:r>
      <w:r>
        <w:t xml:space="preserve"> </w:t>
      </w:r>
      <w:r>
        <w:t xml:space="preserve">Only real execution can establish model success, CPU speed, peak memory, live camera connectivity or CI status. Missing results must remain unknown/not-run. Synthetic fixtures and mock outputs shall be unmistakably marked.</w:t>
      </w:r>
    </w:p>
    <w:p>
      <w:pPr>
        <w:pStyle w:val="Compact"/>
        <w:numPr>
          <w:ilvl w:val="0"/>
          <w:numId w:val="1014"/>
        </w:numPr>
      </w:pPr>
      <w:r>
        <w:rPr>
          <w:b/>
          <w:bCs/>
        </w:rPr>
        <w:t xml:space="preserve">First release gate:</w:t>
      </w:r>
      <w:r>
        <w:t xml:space="preserve"> </w:t>
      </w:r>
      <w:r>
        <w:t xml:space="preserve">At the end of Phase 0, stop before Phase 1. Do not infer project-wide MVP completion from passing the CLI/mock feasibility tests.</w:t>
      </w:r>
    </w:p>
    <w:p>
      <w:pPr>
        <w:pStyle w:val="FirstParagraph"/>
      </w:pPr>
      <w:r>
        <w:rPr>
          <w:b/>
          <w:bCs/>
        </w:rPr>
        <w:t xml:space="preserve">End of SRS v0.2.</w:t>
      </w:r>
      <w:r>
        <w:t xml:space="preserve"> </w:t>
      </w:r>
      <w:r>
        <w:t xml:space="preserve">Related editable diagrams, plugin-contract starter and Codex handoff files are supplied with this package. This document describes intended software, not completed functionality.</w:t>
      </w:r>
    </w:p>
    <w:bookmarkEnd w:id="99"/>
    <w:bookmarkEnd w:id="100"/>
    <w:sectPr>
      <w:footerReference w:type="default" r:id="rId9"/>
      <w:pgSz w:w="11909" w:h="16834"/>
      <w:pgMar w:left="1094" w:right="1094" w:top="1080"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770"/>
        <w:sz w:val="14"/>
      </w:rPr>
      <w:t>VOP  |  SRS v0.2  |  13 OCT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pPr>
    <w:rPr>
      <w:rFonts w:ascii="Aptos" w:hAnsi="Apto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heme="majorHAnsi" w:cstheme="majorBidi" w:eastAsiaTheme="majorEastAsia" w:hAnsiTheme="majorHAnsi" w:ascii="Aptos" w:hAnsi="Aptos"/>
      <w:b/>
      <w:bCs/>
      <w:color w:val="184B63"/>
      <w:sz w:val="30"/>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Aptos" w:hAnsi="Aptos"/>
      <w:b/>
      <w:bCs/>
      <w:color w:val="184B63"/>
      <w:sz w:val="23"/>
      <w:szCs w:val="28"/>
    </w:rPr>
  </w:style>
  <w:style w:styleId="Heading3" w:type="paragraph">
    <w:name w:val="Heading 3"/>
    <w:basedOn w:val="Normal"/>
    <w:next w:val="BodyText"/>
    <w:uiPriority w:val="9"/>
    <w:unhideWhenUsed/>
    <w:qFormat/>
    <w:pPr>
      <w:keepNext/>
      <w:keepLines/>
      <w:spacing w:after="80" w:before="140"/>
      <w:outlineLvl w:val="2"/>
    </w:pPr>
    <w:rPr>
      <w:rFonts w:asciiTheme="majorHAnsi" w:cstheme="majorBidi" w:eastAsiaTheme="majorEastAsia" w:hAnsiTheme="majorHAnsi" w:ascii="Aptos" w:hAnsi="Aptos"/>
      <w:b/>
      <w:bCs/>
      <w:color w:val="184B63"/>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image" Target="media/rId47.png"/><Relationship Id="rId53" Type="http://schemas.openxmlformats.org/officeDocument/2006/relationships/image" Target="media/rId53.png"/><Relationship Id="rId60" Type="http://schemas.openxmlformats.org/officeDocument/2006/relationships/image" Target="media/rId6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2026-10-13T13:03:42Z</dcterms:created>
  <dcterms:modified xsi:type="dcterms:W3CDTF">2026-10-13T13:03:42Z</dcterms:modified>
</cp:coreProperties>
</file>

<file path=docProps/custom.xml><?xml version="1.0" encoding="utf-8"?>
<Properties xmlns="http://schemas.openxmlformats.org/officeDocument/2006/custom-properties" xmlns:vt="http://schemas.openxmlformats.org/officeDocument/2006/docPropsVTypes"/>
</file>