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ngTitle"/>
      </w:pPr>
      <w:r>
        <w:t>VibeOps Defense Compliance Report</w:t>
      </w:r>
    </w:p>
    <w:p>
      <w:pPr>
        <w:jc w:val="center"/>
      </w:pPr>
      <w:r>
        <w:rPr>
          <w:color w:val="002E5E"/>
          <w:sz w:val="28"/>
        </w:rPr>
        <w:t>――――――――――――――――――――――――――――――</w:t>
      </w:r>
    </w:p>
    <w:p>
      <w:pPr>
        <w:spacing w:after="360"/>
        <w:jc w:val="center"/>
      </w:pPr>
      <w:r>
        <w:rPr>
          <w:b/>
        </w:rPr>
        <w:t>Prepared for: FDSDFFS</w:t>
        <w:br/>
      </w:r>
      <w:r>
        <w:t xml:space="preserve">Date: </w:t>
      </w:r>
      <w:fldSimple w:instr="DATE \@ &quot;MMMM d, yyyy&quot;"/>
      <w:r>
        <w:br/>
        <w:t>Project Context: SDFSDFSDF</w:t>
      </w:r>
    </w:p>
    <w:p>
      <w:pPr>
        <w:pStyle w:val="EngSubtitle"/>
      </w:pPr>
      <w:r>
        <w:t>Executive Summary</w:t>
      </w:r>
    </w:p>
    <w:p>
      <w:pPr>
        <w:pStyle w:val="EngBody"/>
      </w:pPr>
      <w:r>
        <w:t>The compliance assessment of project SDFSDFSDF for FDSDFFS reveals a strong commitment to meeting regulatory requirements. However, there are areas that require attention to ensure full compliance and mitigate potential risks.</w:t>
      </w:r>
    </w:p>
    <w:p>
      <w:pPr>
        <w:pStyle w:val="EngSubtitle"/>
      </w:pPr>
      <w:r>
        <w:t>Compliance Summary</w:t>
      </w:r>
    </w:p>
    <w:p>
      <w:pPr>
        <w:pStyle w:val="EngBody"/>
      </w:pPr>
      <w:r>
        <w:t>Overall, the project is on track with compliance efforts, but there is room for improvement in certain areas to ensure long-term adherence to industry regulations.</w:t>
      </w:r>
    </w:p>
    <w:p>
      <w:pPr>
        <w:pStyle w:val="EngSubtitle"/>
      </w:pPr>
      <w:r>
        <w:t>Risk Assessment</w:t>
      </w:r>
    </w:p>
    <w:p>
      <w:pPr>
        <w:pStyle w:val="EngBody"/>
      </w:pPr>
      <w:r>
        <w:t>The project faces moderate risks related to data security and access controls. Addressing these risks promptly will help in maintaining compliance and avoiding potential regulatory penalties.</w:t>
      </w:r>
    </w:p>
    <w:p>
      <w:pPr>
        <w:pStyle w:val="EngSubtitle"/>
      </w:pPr>
      <w:r>
        <w:t>Recommendations</w:t>
      </w:r>
    </w:p>
    <w:p>
      <w:pPr>
        <w:pStyle w:val="EngBody"/>
      </w:pPr>
      <w:r>
        <w:t>Implement regular compliance training for all team members.</w:t>
      </w:r>
    </w:p>
    <w:p>
      <w:pPr>
        <w:pStyle w:val="EngBody"/>
      </w:pPr>
      <w:r>
        <w:t>Strengthen access control measures to protect sensitive data.</w:t>
      </w:r>
    </w:p>
    <w:p>
      <w:pPr>
        <w:pStyle w:val="EngBody"/>
      </w:pPr>
      <w:r>
        <w:t>Conduct periodic internal audits to monitor compliance status.</w:t>
      </w:r>
    </w:p>
    <w:p>
      <w:pPr>
        <w:pStyle w:val="EngBody"/>
      </w:pPr>
      <w:r>
        <w:t>Enhance incident response procedures to address compliance breaches effectively.</w:t>
      </w:r>
    </w:p>
    <w:p>
      <w:pPr>
        <w:pStyle w:val="EngSubtitle"/>
      </w:pPr>
      <w:r>
        <w:t>Compliance Objectives</w:t>
      </w:r>
    </w:p>
    <w:p>
      <w:pPr>
        <w:pStyle w:val="EngBody"/>
      </w:pPr>
      <w:r>
        <w:t>Ensure adherence to DoD and federal regulations.</w:t>
      </w:r>
    </w:p>
    <w:p>
      <w:pPr>
        <w:pStyle w:val="EngBody"/>
      </w:pPr>
      <w:r>
        <w:t>Maintain audit-ready documentation for all compliance areas.</w:t>
      </w:r>
    </w:p>
    <w:p>
      <w:pPr>
        <w:pStyle w:val="EngBody"/>
      </w:pPr>
      <w:r>
        <w:t>Implement robust cybersecurity measures.</w:t>
      </w:r>
    </w:p>
    <w:p>
      <w:pPr>
        <w:pStyle w:val="EngSubtitle"/>
      </w:pPr>
      <w:r>
        <w:t>Overview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pPr>
              <w:pStyle w:val="EngTableHeader"/>
              <w:jc w:val="center"/>
            </w:pPr>
            <w:r>
              <w:t>Compliance Area</w:t>
            </w:r>
          </w:p>
        </w:tc>
        <w:tc>
          <w:tcPr>
            <w:tcW w:type="dxa" w:w="2340"/>
            <w:shd w:fill="D3D3D3"/>
          </w:tcPr>
          <w:p>
            <w:pPr>
              <w:pStyle w:val="EngTableHeader"/>
              <w:jc w:val="center"/>
            </w:pPr>
            <w:r>
              <w:t>Status</w:t>
            </w:r>
          </w:p>
        </w:tc>
        <w:tc>
          <w:tcPr>
            <w:tcW w:type="dxa" w:w="2340"/>
            <w:shd w:fill="D3D3D3"/>
          </w:tcPr>
          <w:p>
            <w:pPr>
              <w:pStyle w:val="EngTableHeader"/>
              <w:jc w:val="center"/>
            </w:pPr>
            <w:r>
              <w:t>Audit Date</w:t>
            </w:r>
          </w:p>
        </w:tc>
        <w:tc>
          <w:tcPr>
            <w:tcW w:type="dxa" w:w="2340"/>
            <w:shd w:fill="D3D3D3"/>
          </w:tcPr>
          <w:p>
            <w:pPr>
              <w:pStyle w:val="EngTableHeader"/>
              <w:jc w:val="center"/>
            </w:pPr>
            <w:r>
              <w:t>Notes</w:t>
            </w:r>
          </w:p>
        </w:tc>
      </w:tr>
      <w:tr>
        <w:tc>
          <w:tcPr>
            <w:tcW w:type="dxa" w:w="2340"/>
          </w:tcPr>
          <w:p>
            <w:pPr>
              <w:pStyle w:val="EngBody"/>
              <w:jc w:val="center"/>
            </w:pPr>
            <w:r>
              <w:t>Data Security</w:t>
            </w:r>
          </w:p>
        </w:tc>
        <w:tc>
          <w:tcPr>
            <w:tcW w:type="dxa" w:w="2340"/>
          </w:tcPr>
          <w:p>
            <w:pPr>
              <w:pStyle w:val="EngBody"/>
              <w:jc w:val="center"/>
            </w:pPr>
            <w:r>
              <w:t>Compliant</w:t>
            </w:r>
          </w:p>
        </w:tc>
        <w:tc>
          <w:tcPr>
            <w:tcW w:type="dxa" w:w="2340"/>
          </w:tcPr>
          <w:p>
            <w:pPr>
              <w:pStyle w:val="EngBody"/>
              <w:jc w:val="center"/>
            </w:pPr>
            <w:r>
              <w:t>2022-03-15</w:t>
            </w:r>
          </w:p>
        </w:tc>
        <w:tc>
          <w:tcPr>
            <w:tcW w:type="dxa" w:w="2340"/>
          </w:tcPr>
          <w:p>
            <w:pPr>
              <w:pStyle w:val="EngBody"/>
              <w:jc w:val="center"/>
            </w:pPr>
            <w:r>
              <w:t>Data encryption protocols in place.</w:t>
            </w:r>
          </w:p>
        </w:tc>
      </w:tr>
      <w:tr>
        <w:tc>
          <w:tcPr>
            <w:tcW w:type="dxa" w:w="2340"/>
            <w:shd w:fill="F2F6FA"/>
          </w:tcPr>
          <w:p>
            <w:pPr>
              <w:pStyle w:val="EngBody"/>
              <w:jc w:val="center"/>
            </w:pPr>
            <w:r>
              <w:t>Access Control</w:t>
            </w:r>
          </w:p>
        </w:tc>
        <w:tc>
          <w:tcPr>
            <w:tcW w:type="dxa" w:w="2340"/>
            <w:shd w:fill="F2F6FA"/>
          </w:tcPr>
          <w:p>
            <w:pPr>
              <w:pStyle w:val="EngBody"/>
              <w:jc w:val="center"/>
            </w:pPr>
            <w:r>
              <w:t>Non-Compliant</w:t>
            </w:r>
          </w:p>
        </w:tc>
        <w:tc>
          <w:tcPr>
            <w:tcW w:type="dxa" w:w="2340"/>
            <w:shd w:fill="F2F6FA"/>
          </w:tcPr>
          <w:p>
            <w:pPr>
              <w:pStyle w:val="EngBody"/>
              <w:jc w:val="center"/>
            </w:pPr>
            <w:r>
              <w:t>2022-03-15</w:t>
            </w:r>
          </w:p>
        </w:tc>
        <w:tc>
          <w:tcPr>
            <w:tcW w:type="dxa" w:w="2340"/>
            <w:shd w:fill="F2F6FA"/>
          </w:tcPr>
          <w:p>
            <w:pPr>
              <w:pStyle w:val="EngBody"/>
              <w:jc w:val="center"/>
            </w:pPr>
            <w:r>
              <w:t>Insufficient user access restrictions identified.</w:t>
            </w:r>
          </w:p>
        </w:tc>
      </w:tr>
      <w:tr>
        <w:tc>
          <w:tcPr>
            <w:tcW w:type="dxa" w:w="2340"/>
          </w:tcPr>
          <w:p>
            <w:pPr>
              <w:pStyle w:val="EngBody"/>
              <w:jc w:val="center"/>
            </w:pPr>
            <w:r>
              <w:t>Incident Response</w:t>
            </w:r>
          </w:p>
        </w:tc>
        <w:tc>
          <w:tcPr>
            <w:tcW w:type="dxa" w:w="2340"/>
          </w:tcPr>
          <w:p>
            <w:pPr>
              <w:pStyle w:val="EngBody"/>
              <w:jc w:val="center"/>
            </w:pPr>
            <w:r>
              <w:t>Partially Compliant</w:t>
            </w:r>
          </w:p>
        </w:tc>
        <w:tc>
          <w:tcPr>
            <w:tcW w:type="dxa" w:w="2340"/>
          </w:tcPr>
          <w:p>
            <w:pPr>
              <w:pStyle w:val="EngBody"/>
              <w:jc w:val="center"/>
            </w:pPr>
            <w:r>
              <w:t>2022-03-15</w:t>
            </w:r>
          </w:p>
        </w:tc>
        <w:tc>
          <w:tcPr>
            <w:tcW w:type="dxa" w:w="2340"/>
          </w:tcPr>
          <w:p>
            <w:pPr>
              <w:pStyle w:val="EngBody"/>
              <w:jc w:val="center"/>
            </w:pPr>
            <w:r>
              <w:t>Response procedures need enhancement for regulatory reporting.</w:t>
            </w:r>
          </w:p>
        </w:tc>
      </w:tr>
    </w:tbl>
    <w:p/>
    <w:p>
      <w:pPr>
        <w:pStyle w:val="EngSubtitle"/>
      </w:pPr>
      <w:r>
        <w:t>Company Branding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025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08-03_at_5.34.51_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gBody"/>
      </w:pPr>
      <w:r>
        <w:t xml:space="preserve">For more, visit </w:t>
      </w:r>
      <w:hyperlink r:id="rId12">
        <w:r>
          <w:rPr/>
          <w:t>VibeOps.ca - </w:t>
        </w:r>
      </w:hyperlink>
      <w:r>
        <w:rPr>
          <w:color w:val="0000FF"/>
          <w:u w:val="single"/>
        </w:rPr>
        <w:t xml:space="preserve">VibeOps.ca - </w:t>
      </w:r>
    </w:p>
    <w:p>
      <w:r>
        <w:br w:type="page"/>
      </w:r>
    </w:p>
    <w:p>
      <w:pPr>
        <w:pStyle w:val="EngSubtitle"/>
      </w:pPr>
      <w:r>
        <w:t>Appendix: Supporting Data</w:t>
      </w:r>
    </w:p>
    <w:p>
      <w:pPr>
        <w:pStyle w:val="EngBody"/>
      </w:pPr>
      <w:r>
        <w:t>Detailed cost breakdowns, risk assessments, and technical specifications are available upon request.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Arial" w:hAnsi="Arial"/>
        <w:i/>
        <w:sz w:val="18"/>
      </w:rPr>
      <w:t xml:space="preserve">FDSDFFS — Confidential | </w:t>
    </w:r>
    <w:fldSimple w:instr="DATE \@ &quot;MMMM d, yyyy&quot;"/>
  </w:p>
  <w:p>
    <w:pPr>
      <w:jc w:val="center"/>
    </w:pPr>
    <w:r>
      <w:drawing>
        <wp:inline xmlns:a="http://schemas.openxmlformats.org/drawingml/2006/main" xmlns:pic="http://schemas.openxmlformats.org/drawingml/2006/picture">
          <wp:extent cx="438150" cy="2857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creenshot_2025-08-03_at_5.34.51_P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DDDDDD"/>
        <w:sz w:val="16"/>
      </w:rPr>
      <w:t>――――――――――――――――――――――――――――――――――――――――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160"/>
      <w:gridCol w:w="720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581025" cy="381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creenshot_2025-08-03_at_5.34.51_P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381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sz w:val="20"/>
            </w:rPr>
            <w:t xml:space="preserve">FDSDFFS Report  |  Page </w:t>
          </w:r>
          <w:fldSimple w:instr="PAGE"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Title">
    <w:name w:val="EngTitle"/>
    <w:pPr>
      <w:spacing w:after="360"/>
      <w:jc w:val="center"/>
    </w:pPr>
    <w:rPr>
      <w:rFonts w:ascii="Arial" w:hAnsi="Arial"/>
      <w:b/>
      <w:color w:val="002E5E"/>
      <w:sz w:val="56"/>
    </w:rPr>
  </w:style>
  <w:style w:type="paragraph" w:customStyle="1" w:styleId="EngSubtitle">
    <w:name w:val="EngSubtitle"/>
    <w:pPr>
      <w:spacing w:after="200"/>
    </w:pPr>
    <w:rPr>
      <w:rFonts w:ascii="Arial" w:hAnsi="Arial"/>
      <w:b/>
      <w:color w:val="333333"/>
      <w:sz w:val="32"/>
    </w:rPr>
  </w:style>
  <w:style w:type="paragraph" w:customStyle="1" w:styleId="EngBody">
    <w:name w:val="EngBody"/>
    <w:pPr>
      <w:spacing w:line="300" w:lineRule="auto" w:after="200"/>
    </w:pPr>
    <w:rPr>
      <w:rFonts w:ascii="Arial" w:hAnsi="Arial"/>
      <w:sz w:val="22"/>
    </w:rPr>
  </w:style>
  <w:style w:type="paragraph" w:customStyle="1" w:styleId="EngTableHeader">
    <w:name w:val="EngTableHeader"/>
    <w:pPr>
      <w:jc w:val="center"/>
    </w:pPr>
    <w:rPr>
      <w:rFonts w:ascii="Arial" w:hAnsi="Arial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vibeops.ca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