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VibeTrader Vision and</w:t>
        <w:br/>
        <w:t>Market Opportunity</w:t>
      </w:r>
    </w:p>
    <w:p>
      <w:pPr>
        <w:pStyle w:val="Subtitle"/>
      </w:pPr>
      <w:r>
        <w:rPr>
          <w:b w:val="0"/>
        </w:rPr>
        <w:t>Research and implications for market sizing and revenue projections</w:t>
      </w:r>
    </w:p>
    <w:p>
      <w:r>
        <w:rPr>
          <w:b w:val="0"/>
        </w:rPr>
        <w:t>30 September 2026</w:t>
      </w:r>
    </w:p>
    <w:p>
      <w:r>
        <w:rPr>
          <w:b w:val="0"/>
        </w:rPr>
        <w:t>VibeTrader can pursue a broader opportunity than the customer groups and revenue streams in our current financial model. The evidence supports investigating a global platform for investment strategies, with an initial commercial focus that can be measured and tested. A larger industry context strengthens the vision; a company-specific market estimate still requires clear products, eligible customers, and supported fees.</w:t>
      </w:r>
    </w:p>
    <w:p>
      <w:r>
        <w:rPr>
          <w:b w:val="0"/>
        </w:rPr>
        <w:t>This document connects the founder’s ambition with public market research, explains the Uber comparison, and relates the findings to our existing assumptions. Its purpose is to guide the market thesis and investor narrative while keeping observed activity, management targets, and scenario calculations distinct.</w:t>
      </w:r>
    </w:p>
    <w:p>
      <w:pPr>
        <w:pStyle w:val="Heading2"/>
      </w:pPr>
      <w:r>
        <w:t>The vision we are exploring</w:t>
      </w:r>
    </w:p>
    <w:p>
      <w:r>
        <w:rPr>
          <w:b w:val="0"/>
        </w:rPr>
        <w:t>Our ambition is to make sophisticated investing accessible globally through a platform where individuals and institutions can create, evaluate, access, deploy, and manage investment strategies. Premium strategies provide an initial commercial route. Over time, the platform could also serve strategy creators, advisers, and institutional customers if the product and distribution model support those uses.</w:t>
      </w:r>
    </w:p>
    <w:p>
      <w:r>
        <w:rPr>
          <w:b/>
        </w:rPr>
        <w:t>Proposed investor language</w:t>
      </w:r>
    </w:p>
    <w:p>
      <w:r>
        <w:rPr>
          <w:b w:val="0"/>
        </w:rPr>
        <w:t>VibeTrader is building a global platform for creating, accessing, and managing investment strategies within a $463 billion annual asset-management industry. Paid strategies are our initial route into that opportunity. [4]</w:t>
      </w:r>
    </w:p>
    <w:p>
      <w:pPr>
        <w:pStyle w:val="Heading2"/>
      </w:pPr>
      <w:r>
        <w:t>What the Uber example establishes</w:t>
      </w:r>
    </w:p>
    <w:p>
      <w:r>
        <w:rPr>
          <w:b w:val="0"/>
        </w:rPr>
        <w:t>Uber’s 2008 deck described a $4.2 billion annual market, a launch in San Francisco and New York, and later expansion to other US cities. It described $1 billion or more in annual revenue as its best outcome. That figure was not presented as a near-term two-city SOM. [1]</w:t>
      </w:r>
    </w:p>
    <w:p>
      <w:r>
        <w:rPr>
          <w:b w:val="0"/>
        </w:rPr>
        <w:t>The $5.7 trillion personal-mobility TAM came from Uber’s 2019 IPO filing. It was calculated from passenger miles and cost per mile; delivery and freight were separate opportunities. The repeated table combines different periods and does not match the market-sizing presentation in the 2008 deck. [2]</w:t>
      </w:r>
    </w:p>
    <w:p>
      <w:r>
        <w:rPr>
          <w:b w:val="0"/>
        </w:rPr>
        <w:t>The lesson for VibeTrader is to connect a focused launch to a credible path toward broader customer needs. Our launch revenue target measures execution. It does not define the limit of the long-term market.</w:t>
      </w:r>
    </w:p>
    <w:p>
      <w:r>
        <w:br w:type="page"/>
      </w:r>
    </w:p>
    <w:p>
      <w:pPr>
        <w:pStyle w:val="Heading1"/>
      </w:pPr>
      <w:r>
        <w:t>Evidence for the broader opportunity</w:t>
      </w:r>
    </w:p>
    <w:p>
      <w:r>
        <w:rPr>
          <w:b w:val="0"/>
        </w:rPr>
        <w:t>Market figures describe different units. Assets measure a stock of capital, annual revenues measure industry economics, and platform users measure an audience. Each helps answer a different question.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944"/>
        <w:gridCol w:w="4536"/>
      </w:tblGrid>
      <w:tr>
        <w:trPr>
          <w:cantSplit/>
          <w:tblHeader/>
        </w:trPr>
        <w:tc>
          <w:tcPr>
            <w:tcW w:type="dxa" w:w="3456"/>
            <w:vAlign w:val="center"/>
            <w:tcMar>
              <w:top w:w="85" w:type="dxa"/>
              <w:bottom w:w="85" w:type="dxa"/>
              <w:left w:w="105" w:type="dxa"/>
              <w:right w:w="105" w:type="dxa"/>
            </w:tcMar>
            <w:shd w:fill="263C50"/>
          </w:tcPr>
          <w:p>
            <w:pPr>
              <w:spacing w:after="0" w:line="245" w:lineRule="auto"/>
            </w:pPr>
            <w:r>
              <w:rPr>
                <w:b/>
                <w:color w:val="FFFFFF"/>
                <w:sz w:val="20"/>
              </w:rPr>
              <w:t>Measure</w:t>
            </w:r>
          </w:p>
        </w:tc>
        <w:tc>
          <w:tcPr>
            <w:tcW w:type="dxa" w:w="1944"/>
            <w:vAlign w:val="center"/>
            <w:tcMar>
              <w:top w:w="85" w:type="dxa"/>
              <w:bottom w:w="85" w:type="dxa"/>
              <w:left w:w="105" w:type="dxa"/>
              <w:right w:w="105" w:type="dxa"/>
            </w:tcMar>
            <w:shd w:fill="263C50"/>
          </w:tcPr>
          <w:p>
            <w:pPr>
              <w:spacing w:after="0" w:line="245" w:lineRule="auto"/>
              <w:jc w:val="center"/>
            </w:pPr>
            <w:r>
              <w:rPr>
                <w:b/>
                <w:color w:val="FFFFFF"/>
                <w:sz w:val="20"/>
              </w:rPr>
              <w:t>Size and period</w:t>
            </w:r>
          </w:p>
        </w:tc>
        <w:tc>
          <w:tcPr>
            <w:tcW w:type="dxa" w:w="4536"/>
            <w:vAlign w:val="center"/>
            <w:tcMar>
              <w:top w:w="85" w:type="dxa"/>
              <w:bottom w:w="85" w:type="dxa"/>
              <w:left w:w="105" w:type="dxa"/>
              <w:right w:w="105" w:type="dxa"/>
            </w:tcMar>
            <w:shd w:fill="263C50"/>
          </w:tcPr>
          <w:p>
            <w:pPr>
              <w:spacing w:after="0" w:line="245" w:lineRule="auto"/>
            </w:pPr>
            <w:r>
              <w:rPr>
                <w:b/>
                <w:color w:val="FFFFFF"/>
                <w:sz w:val="20"/>
              </w:rPr>
              <w:t>Meaning</w:t>
            </w:r>
          </w:p>
        </w:tc>
      </w:tr>
      <w:tr>
        <w:trPr>
          <w:cantSplit/>
        </w:trPr>
        <w:tc>
          <w:tcPr>
            <w:tcW w:type="dxa" w:w="3456"/>
            <w:vAlign w:val="center"/>
            <w:tcMar>
              <w:top w:w="85" w:type="dxa"/>
              <w:bottom w:w="85" w:type="dxa"/>
              <w:left w:w="105" w:type="dxa"/>
              <w:right w:w="105" w:type="dxa"/>
            </w:tcMar>
            <w:shd w:fill="F1F4F6"/>
          </w:tcPr>
          <w:p>
            <w:pPr>
              <w:spacing w:after="0" w:line="245" w:lineRule="auto"/>
            </w:pPr>
            <w:r>
              <w:rPr>
                <w:b w:val="0"/>
                <w:sz w:val="20"/>
              </w:rPr>
              <w:t>Global financial wealth [3]</w:t>
            </w:r>
          </w:p>
        </w:tc>
        <w:tc>
          <w:tcPr>
            <w:tcW w:type="dxa" w:w="1944"/>
            <w:vAlign w:val="center"/>
            <w:tcMar>
              <w:top w:w="85" w:type="dxa"/>
              <w:bottom w:w="85" w:type="dxa"/>
              <w:left w:w="105" w:type="dxa"/>
              <w:right w:w="105" w:type="dxa"/>
            </w:tcMar>
            <w:shd w:fill="F1F4F6"/>
          </w:tcPr>
          <w:p>
            <w:pPr>
              <w:spacing w:after="0" w:line="245" w:lineRule="auto"/>
              <w:jc w:val="center"/>
            </w:pPr>
            <w:r>
              <w:rPr>
                <w:b w:val="0"/>
                <w:sz w:val="20"/>
              </w:rPr>
              <w:t>$333T</w:t>
              <w:br/>
              <w:t>2025</w:t>
            </w:r>
          </w:p>
        </w:tc>
        <w:tc>
          <w:tcPr>
            <w:tcW w:type="dxa" w:w="4536"/>
            <w:vAlign w:val="center"/>
            <w:tcMar>
              <w:top w:w="85" w:type="dxa"/>
              <w:bottom w:w="85" w:type="dxa"/>
              <w:left w:w="105" w:type="dxa"/>
              <w:right w:w="105" w:type="dxa"/>
            </w:tcMar>
            <w:shd w:fill="F1F4F6"/>
          </w:tcPr>
          <w:p>
            <w:pPr>
              <w:spacing w:after="0" w:line="245" w:lineRule="auto"/>
            </w:pPr>
            <w:r>
              <w:rPr>
                <w:b w:val="0"/>
                <w:sz w:val="20"/>
              </w:rPr>
              <w:t>Financial assets across the global wealth base.</w:t>
            </w:r>
          </w:p>
        </w:tc>
      </w:tr>
      <w:tr>
        <w:trPr>
          <w:cantSplit/>
        </w:trPr>
        <w:tc>
          <w:tcPr>
            <w:tcW w:type="dxa" w:w="3456"/>
            <w:vAlign w:val="center"/>
            <w:tcMar>
              <w:top w:w="85" w:type="dxa"/>
              <w:bottom w:w="85" w:type="dxa"/>
              <w:left w:w="105" w:type="dxa"/>
              <w:right w:w="105" w:type="dxa"/>
            </w:tcMar>
            <w:shd w:fill="FFFFFF"/>
          </w:tcPr>
          <w:p>
            <w:pPr>
              <w:spacing w:after="0" w:line="245" w:lineRule="auto"/>
            </w:pPr>
            <w:r>
              <w:rPr>
                <w:b w:val="0"/>
                <w:sz w:val="20"/>
              </w:rPr>
              <w:t>Professionally managed assets [4]</w:t>
            </w:r>
          </w:p>
        </w:tc>
        <w:tc>
          <w:tcPr>
            <w:tcW w:type="dxa" w:w="1944"/>
            <w:vAlign w:val="center"/>
            <w:tcMar>
              <w:top w:w="85" w:type="dxa"/>
              <w:bottom w:w="85" w:type="dxa"/>
              <w:left w:w="105" w:type="dxa"/>
              <w:right w:w="105" w:type="dxa"/>
            </w:tcMar>
            <w:shd w:fill="FFFFFF"/>
          </w:tcPr>
          <w:p>
            <w:pPr>
              <w:spacing w:after="0" w:line="245" w:lineRule="auto"/>
              <w:jc w:val="center"/>
            </w:pPr>
            <w:r>
              <w:rPr>
                <w:b w:val="0"/>
                <w:sz w:val="20"/>
              </w:rPr>
              <w:t>$147T</w:t>
              <w:br/>
              <w:t>2025</w:t>
            </w:r>
          </w:p>
        </w:tc>
        <w:tc>
          <w:tcPr>
            <w:tcW w:type="dxa" w:w="4536"/>
            <w:vAlign w:val="center"/>
            <w:tcMar>
              <w:top w:w="85" w:type="dxa"/>
              <w:bottom w:w="85" w:type="dxa"/>
              <w:left w:w="105" w:type="dxa"/>
              <w:right w:w="105" w:type="dxa"/>
            </w:tcMar>
            <w:shd w:fill="FFFFFF"/>
          </w:tcPr>
          <w:p>
            <w:pPr>
              <w:spacing w:after="0" w:line="245" w:lineRule="auto"/>
            </w:pPr>
            <w:r>
              <w:rPr>
                <w:b w:val="0"/>
                <w:sz w:val="20"/>
              </w:rPr>
              <w:t>Assets managed in exchange for fees.</w:t>
            </w:r>
          </w:p>
        </w:tc>
      </w:tr>
      <w:tr>
        <w:trPr>
          <w:cantSplit/>
        </w:trPr>
        <w:tc>
          <w:tcPr>
            <w:tcW w:type="dxa" w:w="3456"/>
            <w:vAlign w:val="center"/>
            <w:tcMar>
              <w:top w:w="85" w:type="dxa"/>
              <w:bottom w:w="85" w:type="dxa"/>
              <w:left w:w="105" w:type="dxa"/>
              <w:right w:w="105" w:type="dxa"/>
            </w:tcMar>
            <w:shd w:fill="F1F4F6"/>
          </w:tcPr>
          <w:p>
            <w:pPr>
              <w:spacing w:after="0" w:line="245" w:lineRule="auto"/>
            </w:pPr>
            <w:r>
              <w:rPr>
                <w:b w:val="0"/>
                <w:sz w:val="20"/>
              </w:rPr>
              <w:t>Asset-management revenue [4]</w:t>
            </w:r>
          </w:p>
        </w:tc>
        <w:tc>
          <w:tcPr>
            <w:tcW w:type="dxa" w:w="1944"/>
            <w:vAlign w:val="center"/>
            <w:tcMar>
              <w:top w:w="85" w:type="dxa"/>
              <w:bottom w:w="85" w:type="dxa"/>
              <w:left w:w="105" w:type="dxa"/>
              <w:right w:w="105" w:type="dxa"/>
            </w:tcMar>
            <w:shd w:fill="F1F4F6"/>
          </w:tcPr>
          <w:p>
            <w:pPr>
              <w:spacing w:after="0" w:line="245" w:lineRule="auto"/>
              <w:jc w:val="center"/>
            </w:pPr>
            <w:r>
              <w:rPr>
                <w:b w:val="0"/>
                <w:sz w:val="20"/>
              </w:rPr>
              <w:t>$463B</w:t>
              <w:br/>
              <w:t>2025</w:t>
            </w:r>
          </w:p>
        </w:tc>
        <w:tc>
          <w:tcPr>
            <w:tcW w:type="dxa" w:w="4536"/>
            <w:vAlign w:val="center"/>
            <w:tcMar>
              <w:top w:w="85" w:type="dxa"/>
              <w:bottom w:w="85" w:type="dxa"/>
              <w:left w:w="105" w:type="dxa"/>
              <w:right w:w="105" w:type="dxa"/>
            </w:tcMar>
            <w:shd w:fill="F1F4F6"/>
          </w:tcPr>
          <w:p>
            <w:pPr>
              <w:spacing w:after="0" w:line="245" w:lineRule="auto"/>
            </w:pPr>
            <w:r>
              <w:rPr>
                <w:b w:val="0"/>
                <w:sz w:val="20"/>
              </w:rPr>
              <w:t>Estimated annual industry revenue.</w:t>
            </w:r>
          </w:p>
        </w:tc>
      </w:tr>
      <w:tr>
        <w:trPr>
          <w:cantSplit/>
        </w:trPr>
        <w:tc>
          <w:tcPr>
            <w:tcW w:type="dxa" w:w="3456"/>
            <w:vAlign w:val="center"/>
            <w:tcMar>
              <w:top w:w="85" w:type="dxa"/>
              <w:bottom w:w="85" w:type="dxa"/>
              <w:left w:w="105" w:type="dxa"/>
              <w:right w:w="105" w:type="dxa"/>
            </w:tcMar>
            <w:shd w:fill="FFFFFF"/>
          </w:tcPr>
          <w:p>
            <w:pPr>
              <w:spacing w:after="0" w:line="245" w:lineRule="auto"/>
            </w:pPr>
            <w:r>
              <w:rPr>
                <w:b w:val="0"/>
                <w:sz w:val="20"/>
              </w:rPr>
              <w:t>Selected investment categories [4]</w:t>
            </w:r>
          </w:p>
        </w:tc>
        <w:tc>
          <w:tcPr>
            <w:tcW w:type="dxa" w:w="1944"/>
            <w:vAlign w:val="center"/>
            <w:tcMar>
              <w:top w:w="85" w:type="dxa"/>
              <w:bottom w:w="85" w:type="dxa"/>
              <w:left w:w="105" w:type="dxa"/>
              <w:right w:w="105" w:type="dxa"/>
            </w:tcMar>
            <w:shd w:fill="FFFFFF"/>
          </w:tcPr>
          <w:p>
            <w:pPr>
              <w:spacing w:after="0" w:line="245" w:lineRule="auto"/>
              <w:jc w:val="center"/>
            </w:pPr>
            <w:r>
              <w:rPr>
                <w:b w:val="0"/>
                <w:sz w:val="20"/>
              </w:rPr>
              <w:t>About $210B</w:t>
              <w:br/>
              <w:t>2025</w:t>
            </w:r>
          </w:p>
        </w:tc>
        <w:tc>
          <w:tcPr>
            <w:tcW w:type="dxa" w:w="4536"/>
            <w:vAlign w:val="center"/>
            <w:tcMar>
              <w:top w:w="85" w:type="dxa"/>
              <w:bottom w:w="85" w:type="dxa"/>
              <w:left w:w="105" w:type="dxa"/>
              <w:right w:w="105" w:type="dxa"/>
            </w:tcMar>
            <w:shd w:fill="FFFFFF"/>
          </w:tcPr>
          <w:p>
            <w:pPr>
              <w:spacing w:after="0" w:line="245" w:lineRule="auto"/>
            </w:pPr>
            <w:r>
              <w:rPr>
                <w:b w:val="0"/>
                <w:sz w:val="20"/>
              </w:rPr>
              <w:t>Calculated revenue subtotal described below.</w:t>
            </w:r>
          </w:p>
        </w:tc>
      </w:tr>
      <w:tr>
        <w:trPr>
          <w:cantSplit/>
        </w:trPr>
        <w:tc>
          <w:tcPr>
            <w:tcW w:type="dxa" w:w="3456"/>
            <w:vAlign w:val="center"/>
            <w:tcMar>
              <w:top w:w="85" w:type="dxa"/>
              <w:bottom w:w="85" w:type="dxa"/>
              <w:left w:w="105" w:type="dxa"/>
              <w:right w:w="105" w:type="dxa"/>
            </w:tcMar>
            <w:shd w:fill="F1F4F6"/>
          </w:tcPr>
          <w:p>
            <w:pPr>
              <w:spacing w:after="0" w:line="245" w:lineRule="auto"/>
            </w:pPr>
            <w:r>
              <w:rPr>
                <w:b w:val="0"/>
                <w:sz w:val="20"/>
              </w:rPr>
              <w:t>TradingView audience [5]</w:t>
            </w:r>
          </w:p>
        </w:tc>
        <w:tc>
          <w:tcPr>
            <w:tcW w:type="dxa" w:w="1944"/>
            <w:vAlign w:val="center"/>
            <w:tcMar>
              <w:top w:w="85" w:type="dxa"/>
              <w:bottom w:w="85" w:type="dxa"/>
              <w:left w:w="105" w:type="dxa"/>
              <w:right w:w="105" w:type="dxa"/>
            </w:tcMar>
            <w:shd w:fill="F1F4F6"/>
          </w:tcPr>
          <w:p>
            <w:pPr>
              <w:spacing w:after="0" w:line="245" w:lineRule="auto"/>
              <w:jc w:val="center"/>
            </w:pPr>
            <w:r>
              <w:rPr>
                <w:b w:val="0"/>
                <w:sz w:val="20"/>
              </w:rPr>
              <w:t>100M+</w:t>
              <w:br/>
              <w:t>Reported users</w:t>
            </w:r>
          </w:p>
        </w:tc>
        <w:tc>
          <w:tcPr>
            <w:tcW w:type="dxa" w:w="4536"/>
            <w:vAlign w:val="center"/>
            <w:tcMar>
              <w:top w:w="85" w:type="dxa"/>
              <w:bottom w:w="85" w:type="dxa"/>
              <w:left w:w="105" w:type="dxa"/>
              <w:right w:w="105" w:type="dxa"/>
            </w:tcMar>
            <w:shd w:fill="F1F4F6"/>
          </w:tcPr>
          <w:p>
            <w:pPr>
              <w:spacing w:after="0" w:line="245" w:lineRule="auto"/>
            </w:pPr>
            <w:r>
              <w:rPr>
                <w:b w:val="0"/>
                <w:sz w:val="20"/>
              </w:rPr>
              <w:t>Company-reported traders and investors; payment status is not specified.</w:t>
            </w:r>
          </w:p>
        </w:tc>
      </w:tr>
    </w:tbl>
    <w:p>
      <w:pPr>
        <w:spacing w:after="20"/>
      </w:pPr>
      <w:r>
        <w:rPr>
          <w:b w:val="0"/>
        </w:rPr>
      </w:r>
    </w:p>
    <w:p>
      <w:pPr>
        <w:pStyle w:val="Heading2"/>
      </w:pPr>
      <w:r>
        <w:t>The investment categories behind the subtotal</w:t>
      </w:r>
    </w:p>
    <w:p>
      <w:r>
        <w:rPr>
          <w:b w:val="0"/>
        </w:rPr>
        <w:t>BCG reports $97 billion from active core products, $64 billion from active specialties, and $49 billion from solutions, liability-driven investing, and multiasset products. Their sum is approximately $210 billion. This is a subset of the $463 billion total, not an additional market. [4]</w:t>
      </w:r>
    </w:p>
    <w:p>
      <w:r>
        <w:rPr>
          <w:b w:val="0"/>
        </w:rPr>
        <w:t>BCG separates alternatives and passive products. Its alternatives category includes private and liquid strategies, and excludes private-equity and hedge-fund performance fees. [4]</w:t>
      </w:r>
    </w:p>
    <w:p>
      <w:r>
        <w:rPr>
          <w:b w:val="0"/>
        </w:rPr>
        <w:t>The selected subtotal is a research starting point for our investment-strategy thesis. It contains existing services that may require capabilities beyond our present product, including portfolio mandates and institutional delivery. It therefore does not establish a $210 billion VibeTrader TAM or SAM.</w:t>
      </w:r>
    </w:p>
    <w:p>
      <w:pPr>
        <w:pStyle w:val="Heading2"/>
      </w:pPr>
      <w:r>
        <w:t>Turning industry scale into a revenue opportunity</w:t>
      </w:r>
    </w:p>
    <w:p>
      <w:r>
        <w:rPr>
          <w:b w:val="0"/>
        </w:rPr>
        <w:t>For subscriptions, the relevant calculation is eligible paying customers multiplied by annual revenue per customer. For an asset-linked model, it is eligible assets multiplied by the annual fee retained by VibeTrader. Marketplace models should use the platform’s retained fees after creator payments where applicable, with the revenue-recognition treatment checked against the contract.</w:t>
      </w:r>
    </w:p>
    <w:p>
      <w:r>
        <w:rPr>
          <w:b w:val="0"/>
        </w:rPr>
        <w:t>For illustration only, a $10 trillion eligible asset base at a 0.10% annual fee would produce a $10 billion annual fee pool. Both inputs would need independent support. This example is arithmetic, not a researched VibeTrader market estimate.</w:t>
      </w:r>
    </w:p>
    <w:p>
      <w:r>
        <w:rPr>
          <w:b w:val="0"/>
        </w:rPr>
        <w:t>A broader strategy could also reach customers who find existing investment tools too complex or expensive. That is a market-expansion hypothesis to test through adoption and willingness to pay; it is not demonstrated by the industry totals.</w:t>
      </w:r>
    </w:p>
    <w:p>
      <w:r>
        <w:br w:type="page"/>
      </w:r>
    </w:p>
    <w:p>
      <w:pPr>
        <w:pStyle w:val="Heading1"/>
      </w:pPr>
      <w:r>
        <w:t>Defining the market VibeTrader can serve</w:t>
      </w:r>
    </w:p>
    <w:p>
      <w:r>
        <w:rPr>
          <w:b w:val="0"/>
        </w:rPr>
        <w:t>TAM, SAM, and SOM should use a consistent revenue basis and explicit product boundaries. A capital base can support the calculation, but should be labeled separately from annual revenue.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2664"/>
        <w:gridCol w:w="6336"/>
      </w:tblGrid>
      <w:tr>
        <w:trPr>
          <w:cantSplit/>
          <w:tblHeader/>
        </w:trPr>
        <w:tc>
          <w:tcPr>
            <w:tcW w:type="dxa" w:w="936"/>
            <w:vAlign w:val="center"/>
            <w:tcMar>
              <w:top w:w="85" w:type="dxa"/>
              <w:bottom w:w="85" w:type="dxa"/>
              <w:left w:w="105" w:type="dxa"/>
              <w:right w:w="105" w:type="dxa"/>
            </w:tcMar>
            <w:shd w:fill="263C50"/>
          </w:tcPr>
          <w:p>
            <w:pPr>
              <w:spacing w:after="0" w:line="245" w:lineRule="auto"/>
            </w:pPr>
            <w:r>
              <w:rPr>
                <w:b/>
                <w:color w:val="FFFFFF"/>
                <w:sz w:val="20"/>
              </w:rPr>
              <w:t>Term</w:t>
            </w:r>
          </w:p>
        </w:tc>
        <w:tc>
          <w:tcPr>
            <w:tcW w:type="dxa" w:w="2664"/>
            <w:vAlign w:val="center"/>
            <w:tcMar>
              <w:top w:w="85" w:type="dxa"/>
              <w:bottom w:w="85" w:type="dxa"/>
              <w:left w:w="105" w:type="dxa"/>
              <w:right w:w="105" w:type="dxa"/>
            </w:tcMar>
            <w:shd w:fill="263C50"/>
          </w:tcPr>
          <w:p>
            <w:pPr>
              <w:spacing w:after="0" w:line="245" w:lineRule="auto"/>
              <w:jc w:val="center"/>
            </w:pPr>
            <w:r>
              <w:rPr>
                <w:b/>
                <w:color w:val="FFFFFF"/>
                <w:sz w:val="20"/>
              </w:rPr>
              <w:t>Definition</w:t>
            </w:r>
          </w:p>
        </w:tc>
        <w:tc>
          <w:tcPr>
            <w:tcW w:type="dxa" w:w="6336"/>
            <w:vAlign w:val="center"/>
            <w:tcMar>
              <w:top w:w="85" w:type="dxa"/>
              <w:bottom w:w="85" w:type="dxa"/>
              <w:left w:w="105" w:type="dxa"/>
              <w:right w:w="105" w:type="dxa"/>
            </w:tcMar>
            <w:shd w:fill="263C50"/>
          </w:tcPr>
          <w:p>
            <w:pPr>
              <w:spacing w:after="0" w:line="245" w:lineRule="auto"/>
            </w:pPr>
            <w:r>
              <w:rPr>
                <w:b/>
                <w:color w:val="FFFFFF"/>
                <w:sz w:val="20"/>
              </w:rPr>
              <w:t>Application to VibeTrader</w:t>
            </w:r>
          </w:p>
        </w:tc>
      </w:tr>
      <w:tr>
        <w:trPr>
          <w:cantSplit/>
        </w:trPr>
        <w:tc>
          <w:tcPr>
            <w:tcW w:type="dxa" w:w="936"/>
            <w:vAlign w:val="center"/>
            <w:tcMar>
              <w:top w:w="85" w:type="dxa"/>
              <w:bottom w:w="85" w:type="dxa"/>
              <w:left w:w="105" w:type="dxa"/>
              <w:right w:w="105" w:type="dxa"/>
            </w:tcMar>
            <w:shd w:fill="F1F4F6"/>
          </w:tcPr>
          <w:p>
            <w:pPr>
              <w:spacing w:after="0" w:line="245" w:lineRule="auto"/>
            </w:pPr>
            <w:r>
              <w:rPr>
                <w:b w:val="0"/>
                <w:sz w:val="20"/>
              </w:rPr>
              <w:t>TAM</w:t>
            </w:r>
          </w:p>
        </w:tc>
        <w:tc>
          <w:tcPr>
            <w:tcW w:type="dxa" w:w="2664"/>
            <w:vAlign w:val="center"/>
            <w:tcMar>
              <w:top w:w="85" w:type="dxa"/>
              <w:bottom w:w="85" w:type="dxa"/>
              <w:left w:w="105" w:type="dxa"/>
              <w:right w:w="105" w:type="dxa"/>
            </w:tcMar>
            <w:shd w:fill="F1F4F6"/>
          </w:tcPr>
          <w:p>
            <w:pPr>
              <w:spacing w:after="0" w:line="245" w:lineRule="auto"/>
              <w:jc w:val="center"/>
            </w:pPr>
            <w:r>
              <w:rPr>
                <w:b w:val="0"/>
                <w:sz w:val="20"/>
              </w:rPr>
              <w:t>Total addressable market</w:t>
            </w:r>
          </w:p>
        </w:tc>
        <w:tc>
          <w:tcPr>
            <w:tcW w:type="dxa" w:w="6336"/>
            <w:vAlign w:val="center"/>
            <w:tcMar>
              <w:top w:w="85" w:type="dxa"/>
              <w:bottom w:w="85" w:type="dxa"/>
              <w:left w:w="105" w:type="dxa"/>
              <w:right w:w="105" w:type="dxa"/>
            </w:tcMar>
            <w:shd w:fill="F1F4F6"/>
          </w:tcPr>
          <w:p>
            <w:pPr>
              <w:spacing w:after="0" w:line="245" w:lineRule="auto"/>
            </w:pPr>
            <w:r>
              <w:rPr>
                <w:b w:val="0"/>
                <w:sz w:val="20"/>
              </w:rPr>
              <w:t>Annual revenue opportunity across eligible customers for the defined mature product scope.</w:t>
            </w:r>
          </w:p>
        </w:tc>
      </w:tr>
      <w:tr>
        <w:trPr>
          <w:cantSplit/>
        </w:trPr>
        <w:tc>
          <w:tcPr>
            <w:tcW w:type="dxa" w:w="936"/>
            <w:vAlign w:val="center"/>
            <w:tcMar>
              <w:top w:w="85" w:type="dxa"/>
              <w:bottom w:w="85" w:type="dxa"/>
              <w:left w:w="105" w:type="dxa"/>
              <w:right w:w="105" w:type="dxa"/>
            </w:tcMar>
            <w:shd w:fill="FFFFFF"/>
          </w:tcPr>
          <w:p>
            <w:pPr>
              <w:spacing w:after="0" w:line="245" w:lineRule="auto"/>
            </w:pPr>
            <w:r>
              <w:rPr>
                <w:b w:val="0"/>
                <w:sz w:val="20"/>
              </w:rPr>
              <w:t>SAM</w:t>
            </w:r>
          </w:p>
        </w:tc>
        <w:tc>
          <w:tcPr>
            <w:tcW w:type="dxa" w:w="2664"/>
            <w:vAlign w:val="center"/>
            <w:tcMar>
              <w:top w:w="85" w:type="dxa"/>
              <w:bottom w:w="85" w:type="dxa"/>
              <w:left w:w="105" w:type="dxa"/>
              <w:right w:w="105" w:type="dxa"/>
            </w:tcMar>
            <w:shd w:fill="FFFFFF"/>
          </w:tcPr>
          <w:p>
            <w:pPr>
              <w:spacing w:after="0" w:line="245" w:lineRule="auto"/>
              <w:jc w:val="center"/>
            </w:pPr>
            <w:r>
              <w:rPr>
                <w:b w:val="0"/>
                <w:sz w:val="20"/>
              </w:rPr>
              <w:t>Serviceable addressable market</w:t>
            </w:r>
          </w:p>
        </w:tc>
        <w:tc>
          <w:tcPr>
            <w:tcW w:type="dxa" w:w="6336"/>
            <w:vAlign w:val="center"/>
            <w:tcMar>
              <w:top w:w="85" w:type="dxa"/>
              <w:bottom w:w="85" w:type="dxa"/>
              <w:left w:w="105" w:type="dxa"/>
              <w:right w:w="105" w:type="dxa"/>
            </w:tcMar>
            <w:shd w:fill="FFFFFF"/>
          </w:tcPr>
          <w:p>
            <w:pPr>
              <w:spacing w:after="0" w:line="245" w:lineRule="auto"/>
            </w:pPr>
            <w:r>
              <w:rPr>
                <w:b w:val="0"/>
                <w:sz w:val="20"/>
              </w:rPr>
              <w:t>The portion supported by specified products, assets, countries, distribution, and operating permissions.</w:t>
            </w:r>
          </w:p>
        </w:tc>
      </w:tr>
      <w:tr>
        <w:trPr>
          <w:cantSplit/>
        </w:trPr>
        <w:tc>
          <w:tcPr>
            <w:tcW w:type="dxa" w:w="936"/>
            <w:vAlign w:val="center"/>
            <w:tcMar>
              <w:top w:w="85" w:type="dxa"/>
              <w:bottom w:w="85" w:type="dxa"/>
              <w:left w:w="105" w:type="dxa"/>
              <w:right w:w="105" w:type="dxa"/>
            </w:tcMar>
            <w:shd w:fill="F1F4F6"/>
          </w:tcPr>
          <w:p>
            <w:pPr>
              <w:spacing w:after="0" w:line="245" w:lineRule="auto"/>
            </w:pPr>
            <w:r>
              <w:rPr>
                <w:b w:val="0"/>
                <w:sz w:val="20"/>
              </w:rPr>
              <w:t>SOM</w:t>
            </w:r>
          </w:p>
        </w:tc>
        <w:tc>
          <w:tcPr>
            <w:tcW w:type="dxa" w:w="2664"/>
            <w:vAlign w:val="center"/>
            <w:tcMar>
              <w:top w:w="85" w:type="dxa"/>
              <w:bottom w:w="85" w:type="dxa"/>
              <w:left w:w="105" w:type="dxa"/>
              <w:right w:w="105" w:type="dxa"/>
            </w:tcMar>
            <w:shd w:fill="F1F4F6"/>
          </w:tcPr>
          <w:p>
            <w:pPr>
              <w:spacing w:after="0" w:line="245" w:lineRule="auto"/>
              <w:jc w:val="center"/>
            </w:pPr>
            <w:r>
              <w:rPr>
                <w:b w:val="0"/>
                <w:sz w:val="20"/>
              </w:rPr>
              <w:t>Serviceable obtainable market</w:t>
            </w:r>
          </w:p>
        </w:tc>
        <w:tc>
          <w:tcPr>
            <w:tcW w:type="dxa" w:w="6336"/>
            <w:vAlign w:val="center"/>
            <w:tcMar>
              <w:top w:w="85" w:type="dxa"/>
              <w:bottom w:w="85" w:type="dxa"/>
              <w:left w:w="105" w:type="dxa"/>
              <w:right w:w="105" w:type="dxa"/>
            </w:tcMar>
            <w:shd w:fill="F1F4F6"/>
          </w:tcPr>
          <w:p>
            <w:pPr>
              <w:spacing w:after="0" w:line="245" w:lineRule="auto"/>
            </w:pPr>
            <w:r>
              <w:rPr>
                <w:b w:val="0"/>
                <w:sz w:val="20"/>
              </w:rPr>
              <w:t>A time-bound share supported by acquisition, conversion, retention, pricing, and delivery assumptions.</w:t>
            </w:r>
          </w:p>
        </w:tc>
      </w:tr>
    </w:tbl>
    <w:p>
      <w:pPr>
        <w:spacing w:after="20"/>
      </w:pPr>
      <w:r>
        <w:rPr>
          <w:b w:val="0"/>
        </w:rPr>
      </w:r>
    </w:p>
    <w:p>
      <w:pPr>
        <w:pStyle w:val="Heading2"/>
      </w:pPr>
      <w:r>
        <w:t>Three possible business scopes</w:t>
      </w:r>
    </w:p>
    <w:p>
      <w:r>
        <w:rPr>
          <w:b w:val="0"/>
        </w:rPr>
        <w:t>An investing software platform earns individual subscriptions and institutional license fees. Its market is eligible software spending. An institution’s total investment-management revenue is not automatically the software vendor’s addressable revenue.</w:t>
      </w:r>
    </w:p>
    <w:p>
      <w:r>
        <w:rPr>
          <w:b w:val="0"/>
        </w:rPr>
        <w:t>A strategy marketplace earns subscriptions, licensing, or a retained share of transactions between strategy creators and users. This requires a defined creator payout model, a measurable paying audience, and evidence that the platform can attract both sides.</w:t>
      </w:r>
    </w:p>
    <w:p>
      <w:r>
        <w:rPr>
          <w:b w:val="0"/>
        </w:rPr>
        <w:t>An investment-management platform can earn fees on eligible assets managed or advised through it. That scope depends on the actual service delivered and the operating model, including any necessary partners or permissions. These roles can coexist, but bundled access and overlapping fees must be removed from the total.</w:t>
      </w:r>
    </w:p>
    <w:p>
      <w:pPr>
        <w:pStyle w:val="Heading2"/>
      </w:pPr>
      <w:r>
        <w:t>How this relates to the existing model</w:t>
      </w:r>
    </w:p>
    <w:p>
      <w:r>
        <w:rPr>
          <w:b w:val="0"/>
        </w:rPr>
        <w:t>The current working model totals $28.64–31.94 billion for TAM and $4.86–7.25 billion for SAM. It combines retail subscriptions and strategies, adviser licensing, and business FX-related services. Those are scoped revenue proxies containing assumptions, rather than validated counts of customers ready to buy. [9]</w:t>
      </w:r>
    </w:p>
    <w:p>
      <w:r>
        <w:rPr>
          <w:b w:val="0"/>
        </w:rPr>
        <w:t>Its retail TAM uses an unverified 10–15 million people estimate. Its retail SAM starts from CFD accounts rather than unique investors. The adviser and business components include future offerings; the business customer count comes from a historical research sample, not a qualified sales list. The current SAM therefore does not represent only the immediately serviceable launch market. [9]</w:t>
      </w:r>
    </w:p>
    <w:p>
      <w:r>
        <w:rPr>
          <w:b w:val="0"/>
        </w:rPr>
        <w:t>The broader research does not automatically invalidate the existing model or justify renaming its TAM as SAM. It supports developing a larger product thesis and then rebuilding the market boundaries. The first practical distinction is between the market we can serve at launch and the additional markets a mature platform could enter.</w:t>
      </w:r>
    </w:p>
    <w:p>
      <w:r>
        <w:br w:type="page"/>
      </w:r>
    </w:p>
    <w:p>
      <w:pPr>
        <w:pStyle w:val="Heading1"/>
      </w:pPr>
      <w:r>
        <w:t>Connecting the vision to revenue projections</w:t>
      </w:r>
    </w:p>
    <w:p>
      <w:r>
        <w:rPr>
          <w:b w:val="0"/>
        </w:rPr>
        <w:t>The founder’s objective is $3 million by October 2027, following planned onboarding of more than 500 paid strategy customers in October 2026. The supplied price range is $100–$2,500. The workbook uses 500 customers and an illustrative $500 monthly average; monthly billing is a modeling assumption to confirm in actual contracts. [9]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1512"/>
        <w:gridCol w:w="5184"/>
      </w:tblGrid>
      <w:tr>
        <w:trPr>
          <w:cantSplit/>
          <w:tblHeader/>
        </w:trPr>
        <w:tc>
          <w:tcPr>
            <w:tcW w:type="dxa" w:w="3240"/>
            <w:vAlign w:val="center"/>
            <w:tcMar>
              <w:top w:w="85" w:type="dxa"/>
              <w:bottom w:w="85" w:type="dxa"/>
              <w:left w:w="105" w:type="dxa"/>
              <w:right w:w="105" w:type="dxa"/>
            </w:tcMar>
            <w:shd w:fill="263C50"/>
          </w:tcPr>
          <w:p>
            <w:pPr>
              <w:spacing w:after="0" w:line="245" w:lineRule="auto"/>
            </w:pPr>
            <w:r>
              <w:rPr>
                <w:b/>
                <w:color w:val="FFFFFF"/>
                <w:sz w:val="20"/>
              </w:rPr>
              <w:t>Projection</w:t>
            </w:r>
          </w:p>
        </w:tc>
        <w:tc>
          <w:tcPr>
            <w:tcW w:type="dxa" w:w="1512"/>
            <w:vAlign w:val="center"/>
            <w:tcMar>
              <w:top w:w="85" w:type="dxa"/>
              <w:bottom w:w="85" w:type="dxa"/>
              <w:left w:w="105" w:type="dxa"/>
              <w:right w:w="105" w:type="dxa"/>
            </w:tcMar>
            <w:shd w:fill="263C50"/>
          </w:tcPr>
          <w:p>
            <w:pPr>
              <w:spacing w:after="0" w:line="245" w:lineRule="auto"/>
              <w:jc w:val="center"/>
            </w:pPr>
            <w:r>
              <w:rPr>
                <w:b/>
                <w:color w:val="FFFFFF"/>
                <w:sz w:val="20"/>
              </w:rPr>
              <w:t>Amount</w:t>
            </w:r>
          </w:p>
        </w:tc>
        <w:tc>
          <w:tcPr>
            <w:tcW w:type="dxa" w:w="5184"/>
            <w:vAlign w:val="center"/>
            <w:tcMar>
              <w:top w:w="85" w:type="dxa"/>
              <w:bottom w:w="85" w:type="dxa"/>
              <w:left w:w="105" w:type="dxa"/>
              <w:right w:w="105" w:type="dxa"/>
            </w:tcMar>
            <w:shd w:fill="263C50"/>
          </w:tcPr>
          <w:p>
            <w:pPr>
              <w:spacing w:after="0" w:line="245" w:lineRule="auto"/>
            </w:pPr>
            <w:r>
              <w:rPr>
                <w:b/>
                <w:color w:val="FFFFFF"/>
                <w:sz w:val="20"/>
              </w:rPr>
              <w:t>Period and calculation</w:t>
            </w:r>
          </w:p>
        </w:tc>
      </w:tr>
      <w:tr>
        <w:trPr>
          <w:cantSplit/>
        </w:trPr>
        <w:tc>
          <w:tcPr>
            <w:tcW w:type="dxa" w:w="3240"/>
            <w:vAlign w:val="center"/>
            <w:tcMar>
              <w:top w:w="85" w:type="dxa"/>
              <w:bottom w:w="85" w:type="dxa"/>
              <w:left w:w="105" w:type="dxa"/>
              <w:right w:w="105" w:type="dxa"/>
            </w:tcMar>
            <w:shd w:fill="F1F4F6"/>
          </w:tcPr>
          <w:p>
            <w:pPr>
              <w:spacing w:after="0" w:line="245" w:lineRule="auto"/>
            </w:pPr>
            <w:r>
              <w:rPr>
                <w:b w:val="0"/>
                <w:sz w:val="20"/>
              </w:rPr>
              <w:t>Strategy cohort revenue</w:t>
            </w:r>
          </w:p>
        </w:tc>
        <w:tc>
          <w:tcPr>
            <w:tcW w:type="dxa" w:w="1512"/>
            <w:vAlign w:val="center"/>
            <w:tcMar>
              <w:top w:w="85" w:type="dxa"/>
              <w:bottom w:w="85" w:type="dxa"/>
              <w:left w:w="105" w:type="dxa"/>
              <w:right w:w="105" w:type="dxa"/>
            </w:tcMar>
            <w:shd w:fill="F1F4F6"/>
          </w:tcPr>
          <w:p>
            <w:pPr>
              <w:spacing w:after="0" w:line="245" w:lineRule="auto"/>
              <w:jc w:val="center"/>
            </w:pPr>
            <w:r>
              <w:rPr>
                <w:b w:val="0"/>
                <w:sz w:val="20"/>
              </w:rPr>
              <w:t>$3.000M</w:t>
            </w:r>
          </w:p>
        </w:tc>
        <w:tc>
          <w:tcPr>
            <w:tcW w:type="dxa" w:w="5184"/>
            <w:vAlign w:val="center"/>
            <w:tcMar>
              <w:top w:w="85" w:type="dxa"/>
              <w:bottom w:w="85" w:type="dxa"/>
              <w:left w:w="105" w:type="dxa"/>
              <w:right w:w="105" w:type="dxa"/>
            </w:tcMar>
            <w:shd w:fill="F1F4F6"/>
          </w:tcPr>
          <w:p>
            <w:pPr>
              <w:spacing w:after="0" w:line="245" w:lineRule="auto"/>
            </w:pPr>
            <w:r>
              <w:rPr>
                <w:b w:val="0"/>
                <w:sz w:val="20"/>
              </w:rPr>
              <w:t>Nov 2026–Oct 2027: 500 × $500 × 12.</w:t>
            </w:r>
          </w:p>
        </w:tc>
      </w:tr>
      <w:tr>
        <w:trPr>
          <w:cantSplit/>
        </w:trPr>
        <w:tc>
          <w:tcPr>
            <w:tcW w:type="dxa" w:w="3240"/>
            <w:vAlign w:val="center"/>
            <w:tcMar>
              <w:top w:w="85" w:type="dxa"/>
              <w:bottom w:w="85" w:type="dxa"/>
              <w:left w:w="105" w:type="dxa"/>
              <w:right w:w="105" w:type="dxa"/>
            </w:tcMar>
            <w:shd w:fill="FFFFFF"/>
          </w:tcPr>
          <w:p>
            <w:pPr>
              <w:spacing w:after="0" w:line="245" w:lineRule="auto"/>
            </w:pPr>
            <w:r>
              <w:rPr>
                <w:b w:val="0"/>
                <w:sz w:val="20"/>
              </w:rPr>
              <w:t>Standalone app revenue</w:t>
            </w:r>
          </w:p>
        </w:tc>
        <w:tc>
          <w:tcPr>
            <w:tcW w:type="dxa" w:w="1512"/>
            <w:vAlign w:val="center"/>
            <w:tcMar>
              <w:top w:w="85" w:type="dxa"/>
              <w:bottom w:w="85" w:type="dxa"/>
              <w:left w:w="105" w:type="dxa"/>
              <w:right w:w="105" w:type="dxa"/>
            </w:tcMar>
            <w:shd w:fill="FFFFFF"/>
          </w:tcPr>
          <w:p>
            <w:pPr>
              <w:spacing w:after="0" w:line="245" w:lineRule="auto"/>
              <w:jc w:val="center"/>
            </w:pPr>
            <w:r>
              <w:rPr>
                <w:b w:val="0"/>
                <w:sz w:val="20"/>
              </w:rPr>
              <w:t>$0.135M</w:t>
            </w:r>
          </w:p>
        </w:tc>
        <w:tc>
          <w:tcPr>
            <w:tcW w:type="dxa" w:w="5184"/>
            <w:vAlign w:val="center"/>
            <w:tcMar>
              <w:top w:w="85" w:type="dxa"/>
              <w:bottom w:w="85" w:type="dxa"/>
              <w:left w:w="105" w:type="dxa"/>
              <w:right w:w="105" w:type="dxa"/>
            </w:tcMar>
            <w:shd w:fill="FFFFFF"/>
          </w:tcPr>
          <w:p>
            <w:pPr>
              <w:spacing w:after="0" w:line="245" w:lineRule="auto"/>
            </w:pPr>
            <w:r>
              <w:rPr>
                <w:b w:val="0"/>
                <w:sz w:val="20"/>
              </w:rPr>
              <w:t>Same year: average 250 subscriptions × $45 × 12.</w:t>
            </w:r>
          </w:p>
        </w:tc>
      </w:tr>
      <w:tr>
        <w:trPr>
          <w:cantSplit/>
        </w:trPr>
        <w:tc>
          <w:tcPr>
            <w:tcW w:type="dxa" w:w="3240"/>
            <w:vAlign w:val="center"/>
            <w:tcMar>
              <w:top w:w="85" w:type="dxa"/>
              <w:bottom w:w="85" w:type="dxa"/>
              <w:left w:w="105" w:type="dxa"/>
              <w:right w:w="105" w:type="dxa"/>
            </w:tcMar>
            <w:shd w:fill="F1F4F6"/>
          </w:tcPr>
          <w:p>
            <w:pPr>
              <w:spacing w:after="0" w:line="245" w:lineRule="auto"/>
            </w:pPr>
            <w:r>
              <w:rPr>
                <w:b w:val="0"/>
                <w:sz w:val="20"/>
              </w:rPr>
              <w:t>Combined modeled revenue</w:t>
            </w:r>
          </w:p>
        </w:tc>
        <w:tc>
          <w:tcPr>
            <w:tcW w:type="dxa" w:w="1512"/>
            <w:vAlign w:val="center"/>
            <w:tcMar>
              <w:top w:w="85" w:type="dxa"/>
              <w:bottom w:w="85" w:type="dxa"/>
              <w:left w:w="105" w:type="dxa"/>
              <w:right w:w="105" w:type="dxa"/>
            </w:tcMar>
            <w:shd w:fill="F1F4F6"/>
          </w:tcPr>
          <w:p>
            <w:pPr>
              <w:spacing w:after="0" w:line="245" w:lineRule="auto"/>
              <w:jc w:val="center"/>
            </w:pPr>
            <w:r>
              <w:rPr>
                <w:b w:val="0"/>
                <w:sz w:val="20"/>
              </w:rPr>
              <w:t>$3.135M</w:t>
            </w:r>
          </w:p>
        </w:tc>
        <w:tc>
          <w:tcPr>
            <w:tcW w:type="dxa" w:w="5184"/>
            <w:vAlign w:val="center"/>
            <w:tcMar>
              <w:top w:w="85" w:type="dxa"/>
              <w:bottom w:w="85" w:type="dxa"/>
              <w:left w:w="105" w:type="dxa"/>
              <w:right w:w="105" w:type="dxa"/>
            </w:tcMar>
            <w:shd w:fill="F1F4F6"/>
          </w:tcPr>
          <w:p>
            <w:pPr>
              <w:spacing w:after="0" w:line="245" w:lineRule="auto"/>
            </w:pPr>
            <w:r>
              <w:rPr>
                <w:b w:val="0"/>
                <w:sz w:val="20"/>
              </w:rPr>
              <w:t>First 12 full service months, excluding onboarding.</w:t>
            </w:r>
          </w:p>
        </w:tc>
      </w:tr>
      <w:tr>
        <w:trPr>
          <w:cantSplit/>
        </w:trPr>
        <w:tc>
          <w:tcPr>
            <w:tcW w:type="dxa" w:w="3240"/>
            <w:vAlign w:val="center"/>
            <w:tcMar>
              <w:top w:w="85" w:type="dxa"/>
              <w:bottom w:w="85" w:type="dxa"/>
              <w:left w:w="105" w:type="dxa"/>
              <w:right w:w="105" w:type="dxa"/>
            </w:tcMar>
            <w:shd w:fill="FFFFFF"/>
          </w:tcPr>
          <w:p>
            <w:pPr>
              <w:spacing w:after="0" w:line="245" w:lineRule="auto"/>
            </w:pPr>
            <w:r>
              <w:rPr>
                <w:b w:val="0"/>
                <w:sz w:val="20"/>
              </w:rPr>
              <w:t>Annual revenue run rate</w:t>
            </w:r>
          </w:p>
        </w:tc>
        <w:tc>
          <w:tcPr>
            <w:tcW w:type="dxa" w:w="1512"/>
            <w:vAlign w:val="center"/>
            <w:tcMar>
              <w:top w:w="85" w:type="dxa"/>
              <w:bottom w:w="85" w:type="dxa"/>
              <w:left w:w="105" w:type="dxa"/>
              <w:right w:w="105" w:type="dxa"/>
            </w:tcMar>
            <w:shd w:fill="FFFFFF"/>
          </w:tcPr>
          <w:p>
            <w:pPr>
              <w:spacing w:after="0" w:line="245" w:lineRule="auto"/>
              <w:jc w:val="center"/>
            </w:pPr>
            <w:r>
              <w:rPr>
                <w:b w:val="0"/>
                <w:sz w:val="20"/>
              </w:rPr>
              <w:t>$3.270M</w:t>
            </w:r>
          </w:p>
        </w:tc>
        <w:tc>
          <w:tcPr>
            <w:tcW w:type="dxa" w:w="5184"/>
            <w:vAlign w:val="center"/>
            <w:tcMar>
              <w:top w:w="85" w:type="dxa"/>
              <w:bottom w:w="85" w:type="dxa"/>
              <w:left w:w="105" w:type="dxa"/>
              <w:right w:w="105" w:type="dxa"/>
            </w:tcMar>
            <w:shd w:fill="FFFFFF"/>
          </w:tcPr>
          <w:p>
            <w:pPr>
              <w:spacing w:after="0" w:line="245" w:lineRule="auto"/>
            </w:pPr>
            <w:r>
              <w:rPr>
                <w:b w:val="0"/>
                <w:sz w:val="20"/>
              </w:rPr>
              <w:t>Oct 2027 monthly revenue × 12, including 500 app subscriptions at period end.</w:t>
            </w:r>
          </w:p>
        </w:tc>
      </w:tr>
      <w:tr>
        <w:trPr>
          <w:cantSplit/>
        </w:trPr>
        <w:tc>
          <w:tcPr>
            <w:tcW w:type="dxa" w:w="3240"/>
            <w:vAlign w:val="center"/>
            <w:tcMar>
              <w:top w:w="85" w:type="dxa"/>
              <w:bottom w:w="85" w:type="dxa"/>
              <w:left w:w="105" w:type="dxa"/>
              <w:right w:w="105" w:type="dxa"/>
            </w:tcMar>
            <w:shd w:fill="F1F4F6"/>
          </w:tcPr>
          <w:p>
            <w:pPr>
              <w:spacing w:after="0" w:line="245" w:lineRule="auto"/>
            </w:pPr>
            <w:r>
              <w:rPr>
                <w:b w:val="0"/>
                <w:sz w:val="20"/>
              </w:rPr>
              <w:t>October onboarding</w:t>
            </w:r>
          </w:p>
        </w:tc>
        <w:tc>
          <w:tcPr>
            <w:tcW w:type="dxa" w:w="1512"/>
            <w:vAlign w:val="center"/>
            <w:tcMar>
              <w:top w:w="85" w:type="dxa"/>
              <w:bottom w:w="85" w:type="dxa"/>
              <w:left w:w="105" w:type="dxa"/>
              <w:right w:w="105" w:type="dxa"/>
            </w:tcMar>
            <w:shd w:fill="F1F4F6"/>
          </w:tcPr>
          <w:p>
            <w:pPr>
              <w:spacing w:after="0" w:line="245" w:lineRule="auto"/>
              <w:jc w:val="center"/>
            </w:pPr>
            <w:r>
              <w:rPr>
                <w:b w:val="0"/>
                <w:sz w:val="20"/>
              </w:rPr>
              <w:t>$0.125M</w:t>
            </w:r>
          </w:p>
        </w:tc>
        <w:tc>
          <w:tcPr>
            <w:tcW w:type="dxa" w:w="5184"/>
            <w:vAlign w:val="center"/>
            <w:tcMar>
              <w:top w:w="85" w:type="dxa"/>
              <w:bottom w:w="85" w:type="dxa"/>
              <w:left w:w="105" w:type="dxa"/>
              <w:right w:w="105" w:type="dxa"/>
            </w:tcMar>
            <w:shd w:fill="F1F4F6"/>
          </w:tcPr>
          <w:p>
            <w:pPr>
              <w:spacing w:after="0" w:line="245" w:lineRule="auto"/>
            </w:pPr>
            <w:r>
              <w:rPr>
                <w:b w:val="0"/>
                <w:sz w:val="20"/>
              </w:rPr>
              <w:t>Separate Oct 2026 assumption: 500 × $500 × half a month.</w:t>
            </w:r>
          </w:p>
        </w:tc>
      </w:tr>
    </w:tbl>
    <w:p>
      <w:pPr>
        <w:spacing w:after="20"/>
      </w:pPr>
      <w:r>
        <w:rPr>
          <w:b w:val="0"/>
        </w:rPr>
      </w:r>
    </w:p>
    <w:p>
      <w:r>
        <w:rPr>
          <w:b w:val="0"/>
        </w:rPr>
        <w:t>The strategy case assumes no churn, no additional strategy customers after launch, and a constant monthly price. The app case assumes a linear increase from zero to 500 standalone paid subscriptions. App access already bundled with a strategy is excluded from standalone app revenue. These are scenario assumptions, not observed results. [9]</w:t>
      </w:r>
    </w:p>
    <w:p>
      <w:pPr>
        <w:pStyle w:val="Heading2"/>
      </w:pPr>
      <w:r>
        <w:t>Revenue earned and annual run rate</w:t>
      </w:r>
    </w:p>
    <w:p>
      <w:r>
        <w:rPr>
          <w:b w:val="0"/>
        </w:rPr>
        <w:t>Revenue earned is the sum of service-period revenue across the modeled months. Annual run rate extrapolates one month over a year. The October 2026 onboarding month plus November 2026–October 2027 spans 13 calendar months; the extra $125,000 should not be folded into a 12-month total. Contract terms, discounts, refunds, and service delivery must support any recognized-revenue claim.</w:t>
      </w:r>
    </w:p>
    <w:p>
      <w:r>
        <w:rPr>
          <w:b w:val="0"/>
        </w:rPr>
        <w:t>At an average $500 per month, $3 million requires 6,000 paying customer-months. If customers leave or onboarding is delayed, replacement sales, a higher price, or other revenue would be needed. A one-time $500 purchase by 500 customers would instead produce $250,000 before refunds and other adjustments.</w:t>
      </w:r>
    </w:p>
    <w:p>
      <w:pPr>
        <w:pStyle w:val="Heading2"/>
      </w:pPr>
      <w:r>
        <w:t>What the current evidence establishes</w:t>
      </w:r>
    </w:p>
    <w:p>
      <w:r>
        <w:rPr>
          <w:b w:val="0"/>
        </w:rPr>
        <w:t>The supplied Clerk evidence concerns the app: 2,513 registrations, 63 active users in the displayed week, and 7% activity retention after eight weeks. The week may be partial. The founder reports the app is pre-revenue and premium strategy selling has started. These app metrics do not establish strategy purchases or paid subscription churn. [10]</w:t>
      </w:r>
    </w:p>
    <w:p>
      <w:r>
        <w:rPr>
          <w:b w:val="0"/>
        </w:rPr>
        <w:t>The Year 5 model’s $186.8 million annual run rate is a management scenario, not independent evidence of obtainable demand. Acquisition costs and operating expenses remain insufficiently established to support profitability or runway claims. [9]</w:t>
      </w:r>
    </w:p>
    <w:p>
      <w:r>
        <w:br w:type="page"/>
      </w:r>
    </w:p>
    <w:p>
      <w:pPr>
        <w:pStyle w:val="Heading1"/>
      </w:pPr>
      <w:r>
        <w:t>Strategic implications and evidence still needed</w:t>
      </w:r>
    </w:p>
    <w:p>
      <w:pPr>
        <w:pStyle w:val="Heading2"/>
      </w:pPr>
      <w:r>
        <w:t>Signals from existing platforms</w:t>
      </w:r>
    </w:p>
    <w:p>
      <w:r>
        <w:rPr>
          <w:b w:val="0"/>
        </w:rPr>
        <w:t>TradingView’s reported audience shows that an investing product can reach a global population beyond the CFD account base used in our current model. A reported user is not necessarily active or paying, so this evidence should guide audience research rather than be multiplied directly by VibeTrader’s price. [5]</w:t>
      </w:r>
    </w:p>
    <w:p>
      <w:r>
        <w:rPr>
          <w:b w:val="0"/>
        </w:rPr>
        <w:t>BlackRock reported $2 billion in technology-services and subscription revenue for 2025, with Aladdin representing the majority. The category also includes other offerings, including acquired Preqin revenue. It demonstrates established demand for investment technology, but is neither Aladdin-only revenue nor a market-size estimate. [6]</w:t>
      </w:r>
    </w:p>
    <w:p>
      <w:r>
        <w:rPr>
          <w:b w:val="0"/>
        </w:rPr>
        <w:t>In February 2026, eToro described public APIs and AI tools for building and sharing strategies, preparations for an app marketplace, and quantitative investment portfolios. This supports the relevance of the broader platform direction and identifies established competition pursuing similar capabilities. [7]</w:t>
      </w:r>
    </w:p>
    <w:p>
      <w:r>
        <w:rPr>
          <w:b w:val="0"/>
        </w:rPr>
        <w:t>BCG argues that distribution and ownership of client relationships increasingly determine which asset managers attract capital. For VibeTrader, this suggests that reaching investors, supporting adoption, and retaining customers will matter alongside the ability to create strategies. That application to VibeTrader is our strategic interpretation. [8]</w:t>
      </w:r>
    </w:p>
    <w:p>
      <w:pPr>
        <w:pStyle w:val="Heading2"/>
      </w:pPr>
      <w:r>
        <w:t>A path that can be tested</w:t>
      </w:r>
    </w:p>
    <w:p>
      <w:r>
        <w:rPr>
          <w:b w:val="0"/>
        </w:rPr>
        <w:t>The first test is paid strategy demand: customers completing payment, remaining subscribed, and receiving the promised service. The next is repeatable app adoption and an effective route from discovery to deployment. A broader marketplace would then need evidence of creator supply, user demand, and viable retained fees. Adviser and institutional expansion would require a separately tested product and sales process.</w:t>
      </w:r>
    </w:p>
    <w:p>
      <w:pPr>
        <w:pStyle w:val="Heading2"/>
      </w:pPr>
      <w:r>
        <w:t>Evidence required for a defensible larger TAM</w:t>
      </w:r>
    </w:p>
    <w:p>
      <w:pPr>
        <w:pStyle w:val="ListBullet"/>
        <w:spacing w:after="100"/>
      </w:pPr>
      <w:r>
        <w:rPr>
          <w:b w:val="0"/>
        </w:rPr>
        <w:t>Define the mature product scope and which customer activities generate revenue. Record launch capabilities separately from future expansion.</w:t>
      </w:r>
    </w:p>
    <w:p>
      <w:pPr>
        <w:pStyle w:val="ListBullet"/>
        <w:spacing w:after="100"/>
      </w:pPr>
      <w:r>
        <w:rPr>
          <w:b w:val="0"/>
        </w:rPr>
        <w:t>Identify eligible customers or assets by segment and geography. Distinguish people, accounts, firms, and assets; remove overlaps and inaccessible segments.</w:t>
      </w:r>
    </w:p>
    <w:p>
      <w:pPr>
        <w:pStyle w:val="ListBullet"/>
        <w:spacing w:after="100"/>
      </w:pPr>
      <w:r>
        <w:rPr>
          <w:b w:val="0"/>
        </w:rPr>
        <w:t>Validate pricing and billing frequency with contracts, paid cohorts, customer interviews, or comparable products. Record creator payouts and bundled access.</w:t>
      </w:r>
    </w:p>
    <w:p>
      <w:pPr>
        <w:pStyle w:val="ListBullet"/>
        <w:spacing w:after="100"/>
      </w:pPr>
      <w:r>
        <w:rPr>
          <w:b w:val="0"/>
        </w:rPr>
        <w:t>Measure paid acquisition, cohort retention, refunds, collection rates, and costs. Keep app engagement separate from strategy sales and subscription retention.</w:t>
      </w:r>
    </w:p>
    <w:p>
      <w:pPr>
        <w:pStyle w:val="ListBullet"/>
        <w:spacing w:after="100"/>
      </w:pPr>
      <w:r>
        <w:rPr>
          <w:b w:val="0"/>
        </w:rPr>
        <w:t>Reconcile the market estimate with the financial model. Derive SOM from a feasible acquisition and delivery plan, and show downside cases alongside the launch target.</w:t>
      </w:r>
    </w:p>
    <w:p>
      <w:r>
        <w:rPr>
          <w:b w:val="0"/>
        </w:rPr>
        <w:t>The next market-sizing decision is the economic role VibeTrader intends to play for each customer group. Once that is explicit, the broader research can be translated into a company-specific revenue opportunity without treating the whole industry as immediately accessible.</w:t>
      </w:r>
    </w:p>
    <w:p>
      <w:r>
        <w:br w:type="page"/>
      </w:r>
    </w:p>
    <w:p>
      <w:pPr>
        <w:pStyle w:val="Heading1"/>
      </w:pPr>
      <w:r>
        <w:t>Sources and calculation notes</w:t>
      </w:r>
    </w:p>
    <w:p>
      <w:r>
        <w:rPr>
          <w:b w:val="0"/>
        </w:rPr>
        <w:t>External research was reviewed on 30 September 2026. Figures retain their original measurement periods. Company disclosures describe those companies; they do not verify VibeTrader demand. Numbered references throughout this document identify the supporting source.</w:t>
      </w:r>
    </w:p>
    <w:p>
      <w:pPr>
        <w:spacing w:after="160"/>
      </w:pPr>
      <w:r>
        <w:rPr>
          <w:b/>
        </w:rPr>
        <w:t xml:space="preserve">[1] </w:t>
      </w:r>
      <w:hyperlink r:id="rId10">
        <w:r>
          <w:rPr>
            <w:color w:val="175A85"/>
            <w:u w:val="single"/>
          </w:rPr>
          <w:t>Uber original pitch deck from 2008</w:t>
        </w:r>
      </w:hyperlink>
      <w:r>
        <w:rPr>
          <w:sz w:val="20"/>
        </w:rPr>
        <w:br/>
        <w:t>Original deck reproduced on Speaker Deck. Slides 17–20 support the market figure, initial cities, and outcome scenarios.</w:t>
      </w:r>
    </w:p>
    <w:p>
      <w:pPr>
        <w:spacing w:after="160"/>
      </w:pPr>
      <w:r>
        <w:rPr>
          <w:b/>
        </w:rPr>
        <w:t xml:space="preserve">[2] </w:t>
      </w:r>
      <w:hyperlink r:id="rId11">
        <w:r>
          <w:rPr>
            <w:color w:val="175A85"/>
            <w:u w:val="single"/>
          </w:rPr>
          <w:t>Uber registration statement from April 2019</w:t>
        </w:r>
      </w:hyperlink>
      <w:r>
        <w:rPr>
          <w:sz w:val="20"/>
        </w:rPr>
        <w:br/>
        <w:t>SEC Form S-1, market opportunity section. Supports the $5.7T personal-mobility estimate and its mileage-and-cost methodology.</w:t>
      </w:r>
    </w:p>
    <w:p>
      <w:pPr>
        <w:spacing w:after="160"/>
      </w:pPr>
      <w:r>
        <w:rPr>
          <w:b/>
        </w:rPr>
        <w:t xml:space="preserve">[3] </w:t>
      </w:r>
      <w:hyperlink r:id="rId12">
        <w:r>
          <w:rPr>
            <w:color w:val="175A85"/>
            <w:u w:val="single"/>
          </w:rPr>
          <w:t>BCG Global Wealth Report 2026</w:t>
        </w:r>
      </w:hyperlink>
      <w:r>
        <w:rPr>
          <w:sz w:val="20"/>
        </w:rPr>
        <w:br/>
        <w:t>Published 27 May 2026. Financial wealth is a stock of assets; it is not annual industry revenue.</w:t>
      </w:r>
    </w:p>
    <w:p>
      <w:pPr>
        <w:spacing w:after="160"/>
      </w:pPr>
      <w:r>
        <w:rPr>
          <w:b/>
        </w:rPr>
        <w:t xml:space="preserve">[4] </w:t>
      </w:r>
      <w:hyperlink r:id="rId13">
        <w:r>
          <w:rPr>
            <w:color w:val="175A85"/>
            <w:u w:val="single"/>
          </w:rPr>
          <w:t>BCG Global Asset Management Report 2026</w:t>
        </w:r>
      </w:hyperlink>
      <w:r>
        <w:rPr>
          <w:sz w:val="20"/>
        </w:rPr>
        <w:br/>
        <w:t>April 2026. Appendix 3, printed page 27, supplies product revenue categories. The $210B subtotal is calculated from three rounded figures.</w:t>
      </w:r>
    </w:p>
    <w:p>
      <w:pPr>
        <w:spacing w:after="160"/>
      </w:pPr>
      <w:r>
        <w:rPr>
          <w:b/>
        </w:rPr>
        <w:t xml:space="preserve">[5] </w:t>
      </w:r>
      <w:hyperlink r:id="rId14">
        <w:r>
          <w:rPr>
            <w:color w:val="175A85"/>
            <w:u w:val="single"/>
          </w:rPr>
          <w:t>TradingView company overview</w:t>
        </w:r>
      </w:hyperlink>
      <w:r>
        <w:rPr>
          <w:sz w:val="20"/>
        </w:rPr>
        <w:br/>
        <w:t>Company-reported global audience. The page does not establish paid subscribers or eligibility for VibeTrader.</w:t>
      </w:r>
    </w:p>
    <w:p>
      <w:pPr>
        <w:spacing w:after="160"/>
      </w:pPr>
      <w:r>
        <w:rPr>
          <w:b/>
        </w:rPr>
        <w:t xml:space="preserve">[6] </w:t>
      </w:r>
      <w:hyperlink r:id="rId15">
        <w:r>
          <w:rPr>
            <w:color w:val="175A85"/>
            <w:u w:val="single"/>
          </w:rPr>
          <w:t>BlackRock 2025 Form 10-K</w:t>
        </w:r>
      </w:hyperlink>
      <w:r>
        <w:rPr>
          <w:sz w:val="20"/>
        </w:rPr>
        <w:br/>
        <w:t>Technology-services and subscription revenue; includes Aladdin and other offerings.</w:t>
      </w:r>
    </w:p>
    <w:p>
      <w:pPr>
        <w:spacing w:after="160"/>
      </w:pPr>
      <w:r>
        <w:rPr>
          <w:b/>
        </w:rPr>
        <w:t xml:space="preserve">[7] </w:t>
      </w:r>
      <w:hyperlink r:id="rId16">
        <w:r>
          <w:rPr>
            <w:color w:val="175A85"/>
            <w:u w:val="single"/>
          </w:rPr>
          <w:t>eToro fourth quarter and full year 2025 results</w:t>
        </w:r>
      </w:hyperlink>
      <w:r>
        <w:rPr>
          <w:sz w:val="20"/>
        </w:rPr>
        <w:br/>
        <w:t>Published 17 February 2026. Business highlights describe strategy tools, APIs, portfolios, and planned marketplace capabilities.</w:t>
      </w:r>
    </w:p>
    <w:p>
      <w:pPr>
        <w:spacing w:after="160"/>
      </w:pPr>
      <w:r>
        <w:rPr>
          <w:b/>
        </w:rPr>
        <w:t xml:space="preserve">[8] </w:t>
      </w:r>
      <w:hyperlink r:id="rId17">
        <w:r>
          <w:rPr>
            <w:color w:val="175A85"/>
            <w:u w:val="single"/>
          </w:rPr>
          <w:t>BCG research on investment distribution</w:t>
        </w:r>
      </w:hyperlink>
      <w:r>
        <w:rPr>
          <w:sz w:val="20"/>
        </w:rPr>
        <w:br/>
        <w:t>Published 28 April 2026. Research perspective on distribution and client relationships in asset management.</w:t>
      </w:r>
    </w:p>
    <w:p>
      <w:pPr>
        <w:spacing w:after="160"/>
      </w:pPr>
      <w:r>
        <w:rPr>
          <w:b/>
        </w:rPr>
        <w:t xml:space="preserve">[9] </w:t>
      </w:r>
      <w:r>
        <w:rPr>
          <w:b/>
        </w:rPr>
        <w:t>VibeTrader financial model and founder planning inputs</w:t>
      </w:r>
      <w:r>
        <w:rPr>
          <w:sz w:val="20"/>
        </w:rPr>
        <w:br/>
        <w:t>VibeTrader Financials and Market Evidence.xlsx in outputs/vibetrader-research-20260930; src/config/financial-plan.ts; src/config/market-sizing.ts; founder instructions in this discussion. Model figures are assumptions and targets unless labeled otherwise.</w:t>
      </w:r>
    </w:p>
    <w:p>
      <w:pPr>
        <w:spacing w:after="160"/>
      </w:pPr>
      <w:r>
        <w:rPr>
          <w:b/>
        </w:rPr>
        <w:t xml:space="preserve">[10] </w:t>
      </w:r>
      <w:r>
        <w:rPr>
          <w:b/>
        </w:rPr>
        <w:t>VibeTrader app activity evidence</w:t>
      </w:r>
      <w:r>
        <w:rPr>
          <w:sz w:val="20"/>
        </w:rPr>
        <w:br/>
        <w:t>Supplied Clerk screenshots in docs/clerk, summarized in src/app/research/market-sizing/page.tsx. App activity is distinct from strategy payment evidence.</w:t>
      </w:r>
    </w:p>
    <w:p>
      <w:r>
        <w:rPr>
          <w:b w:val="0"/>
        </w:rPr>
        <w:t>T = trillion US dollars. B = billion US dollars. M = million, expressed in dollars where a dollar sign is present. TAM, SAM, and SOM refer to the defined annual revenue opportunity unless a different unit is explicitly stated. Rounding can cause category totals to differ slightly.</w:t>
      </w:r>
    </w:p>
    <w:sectPr w:rsidR="00FC693F" w:rsidRPr="0006063C" w:rsidSect="00034616">
      <w:footerReference w:type="default" r:id="rId9"/>
      <w:pgSz w:w="12240" w:h="15840"/>
      <w:pgMar w:top="1008"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 xml:space="preserve">VibeTrader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40"/>
    </w:pPr>
    <w:rPr>
      <w:rFonts w:asciiTheme="majorHAnsi" w:eastAsiaTheme="majorEastAsia" w:hAnsiTheme="majorHAnsi" w:cstheme="majorBidi" w:ascii="Calibri" w:hAnsi="Calibri"/>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speakerdeck.com/fbrunel/uber-pitch-deck-2008" TargetMode="External"/><Relationship Id="rId11" Type="http://schemas.openxmlformats.org/officeDocument/2006/relationships/hyperlink" Target="https://www.sec.gov/Archives/edgar/data/1543151/000119312519103850/d647752ds1.htm" TargetMode="External"/><Relationship Id="rId12" Type="http://schemas.openxmlformats.org/officeDocument/2006/relationships/hyperlink" Target="https://www.bcg.com/publications/2026/global-wealth-growth-in-an-era-of-reordering" TargetMode="External"/><Relationship Id="rId13" Type="http://schemas.openxmlformats.org/officeDocument/2006/relationships/hyperlink" Target="https://web-assets.bcg.com/78/cf/bbb3a3044db782077c75b907d719/2026-gam-report-apr-2026.pdf" TargetMode="External"/><Relationship Id="rId14" Type="http://schemas.openxmlformats.org/officeDocument/2006/relationships/hyperlink" Target="https://www.tradingview.com/about/" TargetMode="External"/><Relationship Id="rId15" Type="http://schemas.openxmlformats.org/officeDocument/2006/relationships/hyperlink" Target="https://www.sec.gov/Archives/edgar/data/2012383/000119312526071966/blk-20251231.htm" TargetMode="External"/><Relationship Id="rId16" Type="http://schemas.openxmlformats.org/officeDocument/2006/relationships/hyperlink" Target="https://investors.etoro.com/news-releases/news-release-details/etoro-reports-fourth-quarter-and-full-year-2025-results" TargetMode="External"/><Relationship Id="rId17" Type="http://schemas.openxmlformats.org/officeDocument/2006/relationships/hyperlink" Target="https://www.bcg.com/publications/2026/distribution-is-the-new-source-of-advant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VibeTrader Vision and Market Opportunity</dc:title>
  <dc:subject>Market research and implications for TAM SAM SOM and revenue projections</dc:subject>
  <dc:creator>VibeTrader</dc:creator>
  <cp:keywords>VibeTrader, market research, TAM, SAM, SOM, investing, financial model</cp:keywords>
  <dc:description>generated by python-docx</dc:description>
  <cp:lastModifiedBy/>
  <cp:revision>1</cp:revision>
  <dcterms:created xsi:type="dcterms:W3CDTF">2013-12-23T23:15:00Z</dcterms:created>
  <dcterms:modified xsi:type="dcterms:W3CDTF">2013-12-23T23:15:00Z</dcterms:modified>
  <cp:category/>
</cp:coreProperties>
</file>