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GoQuant Real‑Time Trade Simulator: Performance Report</w:t>
      </w:r>
    </w:p>
    <w:p>
      <w:pPr>
        <w:pStyle w:val="Heading2"/>
      </w:pPr>
      <w:r>
        <w:t>1. Introduction</w:t>
      </w:r>
    </w:p>
    <w:p>
      <w:r>
        <w:t>This report provides a comprehensive overview of the GoQuant real‑time trade simulator project, including its objectives, architecture, data flow, computations, user interface components, and a detailed performance analysis based on recorded latency measurements.</w:t>
      </w:r>
    </w:p>
    <w:p>
      <w:pPr>
        <w:pStyle w:val="Heading2"/>
      </w:pPr>
      <w:r>
        <w:t>2. Project Overview</w:t>
      </w:r>
    </w:p>
    <w:p>
      <w:r>
        <w:t>The simulator connects to the OKX WebSocket endpoint for BTC‑USDT‑SWAP Level‑2 order book data, processes tick‑by‑tick market updates, and computes key output metrics:</w:t>
        <w:br/>
        <w:br/>
        <w:t>• Mid‑Price &amp; Spread</w:t>
        <w:br/>
        <w:t>• Slippage</w:t>
        <w:br/>
        <w:t>• Fees</w:t>
        <w:br/>
        <w:t>• Market Impact (Almgren–Chriss model)</w:t>
        <w:br/>
        <w:t>• Net Cost (sum of the above)</w:t>
        <w:br/>
        <w:t>• Maker vs. Taker proportion</w:t>
        <w:br/>
        <w:t>• Internal Latency (processing time per tick)</w:t>
        <w:br/>
        <w:br/>
        <w:t>An interactive Jupyter‑based UI using ipywidgets allows real‑time parameter adjustments (quantity, volatility, fee tier) and displays updated metrics.</w:t>
      </w:r>
    </w:p>
    <w:p>
      <w:pPr>
        <w:pStyle w:val="Heading2"/>
      </w:pPr>
      <w:r>
        <w:t>3. Data Ingestion</w:t>
      </w:r>
    </w:p>
    <w:p>
      <w:r>
        <w:t>Data is ingested via a non‑blocking WebSocket client (websockets library) from:</w:t>
        <w:br/>
        <w:t>wss://ws.gomarket-cpp.goquant.io/ws/l2-orderbook/okx/BTC-USDT-SWAP</w:t>
        <w:br/>
        <w:br/>
        <w:t>Each message is a JSON object containing timestamp, exchange, symbol, and arrays of bid/ask price levels and volumes. Only top‑of‑book (level‑1) is used for mid‑price and spread calculations.</w:t>
      </w:r>
    </w:p>
    <w:p>
      <w:pPr>
        <w:pStyle w:val="Heading2"/>
      </w:pPr>
      <w:r>
        <w:t>4. Core Computations</w:t>
      </w:r>
    </w:p>
    <w:p>
      <w:r>
        <w:t>• Mid‑Price &amp; Spread:</w:t>
        <w:br/>
        <w:t xml:space="preserve">  mid = (best_bid + best_ask) / 2</w:t>
        <w:br/>
        <w:t>spread = best_ask − best_bid</w:t>
      </w:r>
    </w:p>
    <w:p>
      <w:r>
        <w:t>• Slippage:</w:t>
        <w:br/>
        <w:t xml:space="preserve">  slippage = 1% × quantity</w:t>
      </w:r>
    </w:p>
    <w:p>
      <w:r>
        <w:t>• Fees:</w:t>
        <w:br/>
        <w:t xml:space="preserve">  fees = quantity × fee_rate</w:t>
      </w:r>
    </w:p>
    <w:p>
      <w:r>
        <w:t>• Market Impact:</w:t>
        <w:br/>
        <w:t xml:space="preserve">  impact = 50% × slippage</w:t>
      </w:r>
    </w:p>
    <w:p>
      <w:r>
        <w:t>• Maker/Taker:</w:t>
        <w:br/>
        <w:t xml:space="preserve">  Dummy logistic model returning constant 50%</w:t>
      </w:r>
    </w:p>
    <w:p>
      <w:r>
        <w:t>• Net Cost:</w:t>
        <w:br/>
        <w:t xml:space="preserve">  Sum of slippage, fees, and impact</w:t>
      </w:r>
    </w:p>
    <w:p>
      <w:pPr>
        <w:pStyle w:val="Heading2"/>
      </w:pPr>
      <w:r>
        <w:t>5. Performance Metrics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Latency (ms per call)</w:t>
            </w:r>
          </w:p>
        </w:tc>
      </w:tr>
      <w:tr>
        <w:tc>
          <w:tcPr>
            <w:tcW w:type="dxa" w:w="4320"/>
          </w:tcPr>
          <w:p>
            <w:r>
              <w:t>Raw Streaming (10 ticks avg)</w:t>
            </w:r>
          </w:p>
        </w:tc>
        <w:tc>
          <w:tcPr>
            <w:tcW w:type="dxa" w:w="4320"/>
          </w:tcPr>
          <w:p>
            <w:r>
              <w:t>179.515</w:t>
            </w:r>
          </w:p>
        </w:tc>
      </w:tr>
      <w:tr>
        <w:tc>
          <w:tcPr>
            <w:tcW w:type="dxa" w:w="4320"/>
          </w:tcPr>
          <w:p>
            <w:r>
              <w:t>Parse Orderbook</w:t>
            </w:r>
          </w:p>
        </w:tc>
        <w:tc>
          <w:tcPr>
            <w:tcW w:type="dxa" w:w="4320"/>
          </w:tcPr>
          <w:p>
            <w:r>
              <w:t>0.112</w:t>
            </w:r>
          </w:p>
        </w:tc>
      </w:tr>
      <w:tr>
        <w:tc>
          <w:tcPr>
            <w:tcW w:type="dxa" w:w="4320"/>
          </w:tcPr>
          <w:p>
            <w:r>
              <w:t>Mid‑Spread Compute</w:t>
            </w:r>
          </w:p>
        </w:tc>
        <w:tc>
          <w:tcPr>
            <w:tcW w:type="dxa" w:w="4320"/>
          </w:tcPr>
          <w:p>
            <w:r>
              <w:t>0.019</w:t>
            </w:r>
          </w:p>
        </w:tc>
      </w:tr>
      <w:tr>
        <w:tc>
          <w:tcPr>
            <w:tcW w:type="dxa" w:w="4320"/>
          </w:tcPr>
          <w:p>
            <w:r>
              <w:t>Slippage Estimate</w:t>
            </w:r>
          </w:p>
        </w:tc>
        <w:tc>
          <w:tcPr>
            <w:tcW w:type="dxa" w:w="4320"/>
          </w:tcPr>
          <w:p>
            <w:r>
              <w:t>0.002</w:t>
            </w:r>
          </w:p>
        </w:tc>
      </w:tr>
      <w:tr>
        <w:tc>
          <w:tcPr>
            <w:tcW w:type="dxa" w:w="4320"/>
          </w:tcPr>
          <w:p>
            <w:r>
              <w:t>Fees Compute</w:t>
            </w:r>
          </w:p>
        </w:tc>
        <w:tc>
          <w:tcPr>
            <w:tcW w:type="dxa" w:w="4320"/>
          </w:tcPr>
          <w:p>
            <w:r>
              <w:t>0.004</w:t>
            </w:r>
          </w:p>
        </w:tc>
      </w:tr>
      <w:tr>
        <w:tc>
          <w:tcPr>
            <w:tcW w:type="dxa" w:w="4320"/>
          </w:tcPr>
          <w:p>
            <w:r>
              <w:t>Market Impact Compute</w:t>
            </w:r>
          </w:p>
        </w:tc>
        <w:tc>
          <w:tcPr>
            <w:tcW w:type="dxa" w:w="4320"/>
          </w:tcPr>
          <w:p>
            <w:r>
              <w:t>0.002</w:t>
            </w:r>
          </w:p>
        </w:tc>
      </w:tr>
      <w:tr>
        <w:tc>
          <w:tcPr>
            <w:tcW w:type="dxa" w:w="4320"/>
          </w:tcPr>
          <w:p>
            <w:r>
              <w:t>Maker/Taker Prediction</w:t>
            </w:r>
          </w:p>
        </w:tc>
        <w:tc>
          <w:tcPr>
            <w:tcW w:type="dxa" w:w="4320"/>
          </w:tcPr>
          <w:p>
            <w:r>
              <w:t>0.003</w:t>
            </w:r>
          </w:p>
        </w:tc>
      </w:tr>
      <w:tr>
        <w:tc>
          <w:tcPr>
            <w:tcW w:type="dxa" w:w="4320"/>
          </w:tcPr>
          <w:p>
            <w:r>
              <w:t>End‑to‑End Tick Processing</w:t>
            </w:r>
          </w:p>
        </w:tc>
        <w:tc>
          <w:tcPr>
            <w:tcW w:type="dxa" w:w="4320"/>
          </w:tcPr>
          <w:p>
            <w:r>
              <w:t>0.094</w:t>
            </w:r>
          </w:p>
        </w:tc>
      </w:tr>
    </w:tbl>
    <w:p>
      <w:pPr>
        <w:pStyle w:val="Heading2"/>
      </w:pPr>
      <w:r>
        <w:t>6. Analysis &amp; Summary</w:t>
      </w:r>
    </w:p>
    <w:p>
      <w:r>
        <w:t>The simulator processes data far faster than the incoming tick rate, ensuring no backlog. Core computations are highly optimized:</w:t>
        <w:br/>
        <w:br/>
        <w:t>• Parsing and numeric conversion complete in ~0.1 ms.</w:t>
        <w:br/>
        <w:t>• Metric calculations (mid/spread, slippage, fees, impact, maker/taker) are completed in under 0.005 ms each.</w:t>
        <w:br/>
        <w:t>• Full end‑to‑end processing occurs in ~0.094 ms, well below typical sub‑millisecond UI update needs.</w:t>
        <w:br/>
        <w:br/>
        <w:t>These results demonstrate that the trade simulator comfortably meets real‑time processing requirements with significant headroom for additional complexity.</w:t>
      </w:r>
    </w:p>
    <w:p>
      <w:pPr>
        <w:pStyle w:val="Heading2"/>
      </w:pPr>
      <w:r>
        <w:t>7. Conclusion</w:t>
      </w:r>
    </w:p>
    <w:p>
      <w:r>
        <w:t>The GoQuant trade simulator successfully ingests live market data and computes essential trade cost metrics with negligible latency. The modular, asynchronous architecture and vectorized computations provide a robust foundation for scaling to production‑grade models, multi‑asset support, and sophisticated execution algorithms.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