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8EC2A" w14:textId="77777777" w:rsidR="00C67F41" w:rsidRPr="00C67F41" w:rsidRDefault="00C67F41" w:rsidP="00C67F41">
      <w:pPr>
        <w:jc w:val="center"/>
        <w:rPr>
          <w:b/>
          <w:bCs/>
        </w:rPr>
      </w:pPr>
      <w:r w:rsidRPr="00C67F41">
        <w:rPr>
          <w:b/>
          <w:bCs/>
        </w:rPr>
        <w:t xml:space="preserve">Trading </w:t>
      </w:r>
      <w:proofErr w:type="spellStart"/>
      <w:r w:rsidRPr="00C67F41">
        <w:rPr>
          <w:b/>
          <w:bCs/>
        </w:rPr>
        <w:t>Behavior</w:t>
      </w:r>
      <w:proofErr w:type="spellEnd"/>
      <w:r w:rsidRPr="00C67F41">
        <w:rPr>
          <w:b/>
          <w:bCs/>
        </w:rPr>
        <w:t xml:space="preserve"> &amp; Sentiment Analysis</w:t>
      </w:r>
    </w:p>
    <w:p w14:paraId="6868EF2E" w14:textId="77777777" w:rsidR="00C67F41" w:rsidRPr="00C67F41" w:rsidRDefault="00C67F41" w:rsidP="00C67F41">
      <w:pPr>
        <w:rPr>
          <w:b/>
          <w:bCs/>
        </w:rPr>
      </w:pPr>
      <w:r w:rsidRPr="00C67F41">
        <w:rPr>
          <w:b/>
          <w:bCs/>
        </w:rPr>
        <w:t>Methodology</w:t>
      </w:r>
    </w:p>
    <w:p w14:paraId="1CACB571" w14:textId="77777777" w:rsidR="00C67F41" w:rsidRPr="00C67F41" w:rsidRDefault="00C67F41" w:rsidP="00C67F41">
      <w:r w:rsidRPr="00C67F41">
        <w:t xml:space="preserve">This analysis explores how trader </w:t>
      </w:r>
      <w:proofErr w:type="spellStart"/>
      <w:r w:rsidRPr="00C67F41">
        <w:t>behavior</w:t>
      </w:r>
      <w:proofErr w:type="spellEnd"/>
      <w:r w:rsidRPr="00C67F41">
        <w:t xml:space="preserve"> and performance vary across different market sentiment regimes using historical trade data combined with the Fear &amp; Greed Index.</w:t>
      </w:r>
    </w:p>
    <w:p w14:paraId="28B981F3" w14:textId="77777777" w:rsidR="00C67F41" w:rsidRPr="00C67F41" w:rsidRDefault="00C67F41" w:rsidP="00C67F41">
      <w:r w:rsidRPr="00C67F41">
        <w:t>First, the trading dataset was cleaned by converting timestamps into datetime format and extracting daily dates. The trade data was then merged with the Fear &amp; Greed Index using the date field to classify each trading day as Fear or Greed (including extreme categories grouped accordingly).</w:t>
      </w:r>
    </w:p>
    <w:p w14:paraId="6FBB0F35" w14:textId="77777777" w:rsidR="00C67F41" w:rsidRPr="00C67F41" w:rsidRDefault="00C67F41" w:rsidP="00C67F41">
      <w:r w:rsidRPr="00C67F41">
        <w:t xml:space="preserve">Key performance and </w:t>
      </w:r>
      <w:proofErr w:type="spellStart"/>
      <w:r w:rsidRPr="00C67F41">
        <w:t>behavioral</w:t>
      </w:r>
      <w:proofErr w:type="spellEnd"/>
      <w:r w:rsidRPr="00C67F41">
        <w:t xml:space="preserve"> metrics were constructed, including:</w:t>
      </w:r>
    </w:p>
    <w:p w14:paraId="76434C7A" w14:textId="77777777" w:rsidR="00C67F41" w:rsidRPr="00C67F41" w:rsidRDefault="00C67F41" w:rsidP="00C67F41">
      <w:pPr>
        <w:numPr>
          <w:ilvl w:val="0"/>
          <w:numId w:val="1"/>
        </w:numPr>
      </w:pPr>
      <w:r w:rsidRPr="00C67F41">
        <w:t>Number of trades per day (activity level)</w:t>
      </w:r>
    </w:p>
    <w:p w14:paraId="0ED9D7A3" w14:textId="77777777" w:rsidR="00C67F41" w:rsidRPr="00C67F41" w:rsidRDefault="00C67F41" w:rsidP="00C67F41">
      <w:pPr>
        <w:numPr>
          <w:ilvl w:val="0"/>
          <w:numId w:val="1"/>
        </w:numPr>
      </w:pPr>
      <w:r w:rsidRPr="00C67F41">
        <w:t>Trade size (Size USD) as a proxy for exposure</w:t>
      </w:r>
    </w:p>
    <w:p w14:paraId="563250AB" w14:textId="77777777" w:rsidR="00C67F41" w:rsidRPr="00C67F41" w:rsidRDefault="00C67F41" w:rsidP="00C67F41">
      <w:pPr>
        <w:numPr>
          <w:ilvl w:val="0"/>
          <w:numId w:val="1"/>
        </w:numPr>
      </w:pPr>
      <w:r w:rsidRPr="00C67F41">
        <w:t>Long/Short ratio using the Side column</w:t>
      </w:r>
    </w:p>
    <w:p w14:paraId="634DA2C2" w14:textId="77777777" w:rsidR="00C67F41" w:rsidRPr="00C67F41" w:rsidRDefault="00C67F41" w:rsidP="00C67F41">
      <w:pPr>
        <w:numPr>
          <w:ilvl w:val="0"/>
          <w:numId w:val="1"/>
        </w:numPr>
      </w:pPr>
      <w:r w:rsidRPr="00C67F41">
        <w:t>Win rate (percentage of profitable trades)</w:t>
      </w:r>
    </w:p>
    <w:p w14:paraId="3469E93C" w14:textId="77777777" w:rsidR="00C67F41" w:rsidRPr="00C67F41" w:rsidRDefault="00C67F41" w:rsidP="00C67F41">
      <w:pPr>
        <w:numPr>
          <w:ilvl w:val="0"/>
          <w:numId w:val="1"/>
        </w:numPr>
      </w:pPr>
      <w:r w:rsidRPr="00C67F41">
        <w:t xml:space="preserve">Total and average Closed </w:t>
      </w:r>
      <w:proofErr w:type="spellStart"/>
      <w:r w:rsidRPr="00C67F41">
        <w:t>PnL</w:t>
      </w:r>
      <w:proofErr w:type="spellEnd"/>
    </w:p>
    <w:p w14:paraId="5E2566D5" w14:textId="77777777" w:rsidR="00C67F41" w:rsidRPr="00C67F41" w:rsidRDefault="00C67F41" w:rsidP="00C67F41">
      <w:pPr>
        <w:numPr>
          <w:ilvl w:val="0"/>
          <w:numId w:val="1"/>
        </w:numPr>
      </w:pPr>
      <w:r w:rsidRPr="00C67F41">
        <w:t>Trader segmentation:</w:t>
      </w:r>
    </w:p>
    <w:p w14:paraId="5BE6D085" w14:textId="77777777" w:rsidR="00C67F41" w:rsidRPr="00C67F41" w:rsidRDefault="00C67F41" w:rsidP="00C67F41">
      <w:pPr>
        <w:numPr>
          <w:ilvl w:val="1"/>
          <w:numId w:val="1"/>
        </w:numPr>
      </w:pPr>
      <w:r w:rsidRPr="00C67F41">
        <w:t>High vs low exposure (based on average trade size)</w:t>
      </w:r>
    </w:p>
    <w:p w14:paraId="40DA61AC" w14:textId="77777777" w:rsidR="00C67F41" w:rsidRPr="00C67F41" w:rsidRDefault="00C67F41" w:rsidP="00C67F41">
      <w:pPr>
        <w:numPr>
          <w:ilvl w:val="1"/>
          <w:numId w:val="1"/>
        </w:numPr>
      </w:pPr>
      <w:r w:rsidRPr="00C67F41">
        <w:t>Frequent vs infrequent traders (based on trade count)</w:t>
      </w:r>
    </w:p>
    <w:p w14:paraId="14E1D7C8" w14:textId="77777777" w:rsidR="00C67F41" w:rsidRPr="00C67F41" w:rsidRDefault="00C67F41" w:rsidP="00C67F41">
      <w:pPr>
        <w:numPr>
          <w:ilvl w:val="1"/>
          <w:numId w:val="1"/>
        </w:numPr>
      </w:pPr>
      <w:r w:rsidRPr="00C67F41">
        <w:t xml:space="preserve">Consistent vs inconsistent traders (based on win rate and total </w:t>
      </w:r>
      <w:proofErr w:type="spellStart"/>
      <w:r w:rsidRPr="00C67F41">
        <w:t>PnL</w:t>
      </w:r>
      <w:proofErr w:type="spellEnd"/>
      <w:r w:rsidRPr="00C67F41">
        <w:t>)</w:t>
      </w:r>
    </w:p>
    <w:p w14:paraId="5B23FE22" w14:textId="77777777" w:rsidR="00C67F41" w:rsidRPr="00C67F41" w:rsidRDefault="00C67F41" w:rsidP="00C67F41">
      <w:r w:rsidRPr="00C67F41">
        <w:pict w14:anchorId="7A77C1E7">
          <v:rect id="_x0000_i1050" style="width:0;height:1.5pt" o:hralign="center" o:hrstd="t" o:hr="t" fillcolor="#a0a0a0" stroked="f"/>
        </w:pict>
      </w:r>
    </w:p>
    <w:p w14:paraId="0ED93738" w14:textId="77777777" w:rsidR="00C67F41" w:rsidRPr="00C67F41" w:rsidRDefault="00C67F41" w:rsidP="00C67F41">
      <w:pPr>
        <w:rPr>
          <w:b/>
          <w:bCs/>
        </w:rPr>
      </w:pPr>
      <w:r w:rsidRPr="00C67F41">
        <w:rPr>
          <w:b/>
          <w:bCs/>
        </w:rPr>
        <w:t>Insights</w:t>
      </w:r>
    </w:p>
    <w:p w14:paraId="3E282327" w14:textId="77777777" w:rsidR="00C67F41" w:rsidRPr="00C67F41" w:rsidRDefault="00C67F41" w:rsidP="00C67F41">
      <w:r w:rsidRPr="00C67F41">
        <w:rPr>
          <w:b/>
          <w:bCs/>
        </w:rPr>
        <w:t>1. Trading Activity Is Stable, but Risk-Taking Is Not</w:t>
      </w:r>
      <w:r w:rsidRPr="00C67F41">
        <w:br/>
        <w:t>The number of trades per day remains relatively consistent over time, suggesting steady participation. However, exposure levels (trade sizes) vary significantly, indicating that traders adjust risk rather than frequency when market conditions change.</w:t>
      </w:r>
    </w:p>
    <w:p w14:paraId="24D977C5" w14:textId="77777777" w:rsidR="00C67F41" w:rsidRPr="00C67F41" w:rsidRDefault="00C67F41" w:rsidP="00C67F41">
      <w:r w:rsidRPr="00C67F41">
        <w:rPr>
          <w:b/>
          <w:bCs/>
        </w:rPr>
        <w:t>2. Exposure Is Concentrated Among a Small Group</w:t>
      </w:r>
      <w:r w:rsidRPr="00C67F41">
        <w:br/>
        <w:t>Trade size distribution is highly skewed. Most trades are small, but a minority of large trades account for a disproportionate share of exposure. This suggests that overall portfolio risk is driven largely by a subset of high-exposure traders.</w:t>
      </w:r>
    </w:p>
    <w:p w14:paraId="45D489EC" w14:textId="77777777" w:rsidR="00C67F41" w:rsidRPr="00C67F41" w:rsidRDefault="00C67F41" w:rsidP="00C67F41">
      <w:r w:rsidRPr="00C67F41">
        <w:rPr>
          <w:b/>
          <w:bCs/>
        </w:rPr>
        <w:t xml:space="preserve">3. Sentiment Influences Positioning and Risk </w:t>
      </w:r>
      <w:proofErr w:type="spellStart"/>
      <w:r w:rsidRPr="00C67F41">
        <w:rPr>
          <w:b/>
          <w:bCs/>
        </w:rPr>
        <w:t>Behavior</w:t>
      </w:r>
      <w:proofErr w:type="spellEnd"/>
      <w:r w:rsidRPr="00C67F41">
        <w:br/>
        <w:t xml:space="preserve">There is a mild overall short bias, indicating cautious positioning. During Fear regimes, volatility increases the impact of large trades, making high-exposure strategies more </w:t>
      </w:r>
      <w:r w:rsidRPr="00C67F41">
        <w:lastRenderedPageBreak/>
        <w:t>vulnerable. During Greed regimes, traders appear more comfortable holding directional positions aligned with the broader trend.</w:t>
      </w:r>
    </w:p>
    <w:p w14:paraId="05BBF5E9" w14:textId="77777777" w:rsidR="00C67F41" w:rsidRPr="00C67F41" w:rsidRDefault="00C67F41" w:rsidP="00C67F41">
      <w:r w:rsidRPr="00C67F41">
        <w:t xml:space="preserve">Overall, trader </w:t>
      </w:r>
      <w:proofErr w:type="spellStart"/>
      <w:r w:rsidRPr="00C67F41">
        <w:t>behavior</w:t>
      </w:r>
      <w:proofErr w:type="spellEnd"/>
      <w:r w:rsidRPr="00C67F41">
        <w:t xml:space="preserve"> appears sentiment-sensitive, particularly in terms of exposure and directional bias rather than pure activity level.</w:t>
      </w:r>
    </w:p>
    <w:p w14:paraId="16D59096" w14:textId="77777777" w:rsidR="00C67F41" w:rsidRPr="00C67F41" w:rsidRDefault="00C67F41" w:rsidP="00C67F41">
      <w:r w:rsidRPr="00C67F41">
        <w:pict w14:anchorId="5F56B56D">
          <v:rect id="_x0000_i1051" style="width:0;height:1.5pt" o:hralign="center" o:hrstd="t" o:hr="t" fillcolor="#a0a0a0" stroked="f"/>
        </w:pict>
      </w:r>
    </w:p>
    <w:p w14:paraId="1A189307" w14:textId="77777777" w:rsidR="00C67F41" w:rsidRPr="00C67F41" w:rsidRDefault="00C67F41" w:rsidP="00C67F41">
      <w:pPr>
        <w:rPr>
          <w:b/>
          <w:bCs/>
        </w:rPr>
      </w:pPr>
      <w:r w:rsidRPr="00C67F41">
        <w:rPr>
          <w:b/>
          <w:bCs/>
        </w:rPr>
        <w:t>Strategy Recommendations</w:t>
      </w:r>
    </w:p>
    <w:p w14:paraId="3BCD206D" w14:textId="77777777" w:rsidR="00C67F41" w:rsidRPr="00C67F41" w:rsidRDefault="00C67F41" w:rsidP="00C67F41">
      <w:r w:rsidRPr="00C67F41">
        <w:rPr>
          <w:b/>
          <w:bCs/>
        </w:rPr>
        <w:t>1. Sentiment-Based Position Sizing</w:t>
      </w:r>
      <w:r w:rsidRPr="00C67F41">
        <w:br/>
        <w:t>Reduce position size during Fear regimes (e.g., 25–40% reduction for high-exposure traders) to manage volatility-driven drawdowns. Maintain normal sizing during Greed regimes when trends are more stable.</w:t>
      </w:r>
    </w:p>
    <w:p w14:paraId="4761C7DE" w14:textId="77777777" w:rsidR="00C67F41" w:rsidRPr="00C67F41" w:rsidRDefault="00C67F41" w:rsidP="00C67F41">
      <w:r w:rsidRPr="00C67F41">
        <w:rPr>
          <w:b/>
          <w:bCs/>
        </w:rPr>
        <w:t>2. Directional Bias Alignment</w:t>
      </w:r>
      <w:r w:rsidRPr="00C67F41">
        <w:br/>
        <w:t>Increase long allocation during Greed regimes and apply tighter risk controls on short positions. During Fear regimes, allow tactical short exposure but limit overall trade size and avoid aggressive scaling.</w:t>
      </w:r>
    </w:p>
    <w:p w14:paraId="0D3D7A6D" w14:textId="77777777" w:rsidR="00C67F41" w:rsidRPr="00C67F41" w:rsidRDefault="00C67F41" w:rsidP="00C67F41">
      <w:r w:rsidRPr="00C67F41">
        <w:t>By aligning exposure and directional bias with market sentiment, traders can potentially improve risk-adjusted returns while reducing drawdown risk.</w:t>
      </w:r>
    </w:p>
    <w:p w14:paraId="12E348FE" w14:textId="72935144" w:rsidR="006E1DCC" w:rsidRDefault="006E1DCC"/>
    <w:sectPr w:rsidR="006E1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66C2D"/>
    <w:multiLevelType w:val="multilevel"/>
    <w:tmpl w:val="8A26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41"/>
    <w:rsid w:val="00161673"/>
    <w:rsid w:val="0060419C"/>
    <w:rsid w:val="006261C2"/>
    <w:rsid w:val="006E1DCC"/>
    <w:rsid w:val="00B11467"/>
    <w:rsid w:val="00C67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D9189"/>
  <w15:chartTrackingRefBased/>
  <w15:docId w15:val="{12F6C61B-E775-4AD2-A4E4-1DA79190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F41"/>
    <w:rPr>
      <w:rFonts w:eastAsiaTheme="majorEastAsia" w:cstheme="majorBidi"/>
      <w:color w:val="272727" w:themeColor="text1" w:themeTint="D8"/>
    </w:rPr>
  </w:style>
  <w:style w:type="paragraph" w:styleId="Title">
    <w:name w:val="Title"/>
    <w:basedOn w:val="Normal"/>
    <w:next w:val="Normal"/>
    <w:link w:val="TitleChar"/>
    <w:uiPriority w:val="10"/>
    <w:qFormat/>
    <w:rsid w:val="00C67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F41"/>
    <w:pPr>
      <w:spacing w:before="160"/>
      <w:jc w:val="center"/>
    </w:pPr>
    <w:rPr>
      <w:i/>
      <w:iCs/>
      <w:color w:val="404040" w:themeColor="text1" w:themeTint="BF"/>
    </w:rPr>
  </w:style>
  <w:style w:type="character" w:customStyle="1" w:styleId="QuoteChar">
    <w:name w:val="Quote Char"/>
    <w:basedOn w:val="DefaultParagraphFont"/>
    <w:link w:val="Quote"/>
    <w:uiPriority w:val="29"/>
    <w:rsid w:val="00C67F41"/>
    <w:rPr>
      <w:i/>
      <w:iCs/>
      <w:color w:val="404040" w:themeColor="text1" w:themeTint="BF"/>
    </w:rPr>
  </w:style>
  <w:style w:type="paragraph" w:styleId="ListParagraph">
    <w:name w:val="List Paragraph"/>
    <w:basedOn w:val="Normal"/>
    <w:uiPriority w:val="34"/>
    <w:qFormat/>
    <w:rsid w:val="00C67F41"/>
    <w:pPr>
      <w:ind w:left="720"/>
      <w:contextualSpacing/>
    </w:pPr>
  </w:style>
  <w:style w:type="character" w:styleId="IntenseEmphasis">
    <w:name w:val="Intense Emphasis"/>
    <w:basedOn w:val="DefaultParagraphFont"/>
    <w:uiPriority w:val="21"/>
    <w:qFormat/>
    <w:rsid w:val="00C67F41"/>
    <w:rPr>
      <w:i/>
      <w:iCs/>
      <w:color w:val="0F4761" w:themeColor="accent1" w:themeShade="BF"/>
    </w:rPr>
  </w:style>
  <w:style w:type="paragraph" w:styleId="IntenseQuote">
    <w:name w:val="Intense Quote"/>
    <w:basedOn w:val="Normal"/>
    <w:next w:val="Normal"/>
    <w:link w:val="IntenseQuoteChar"/>
    <w:uiPriority w:val="30"/>
    <w:qFormat/>
    <w:rsid w:val="00C67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F41"/>
    <w:rPr>
      <w:i/>
      <w:iCs/>
      <w:color w:val="0F4761" w:themeColor="accent1" w:themeShade="BF"/>
    </w:rPr>
  </w:style>
  <w:style w:type="character" w:styleId="IntenseReference">
    <w:name w:val="Intense Reference"/>
    <w:basedOn w:val="DefaultParagraphFont"/>
    <w:uiPriority w:val="32"/>
    <w:qFormat/>
    <w:rsid w:val="00C67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Vibha C</dc:creator>
  <cp:keywords/>
  <dc:description/>
  <cp:lastModifiedBy>Vibha C</cp:lastModifiedBy>
  <cp:revision>2</cp:revision>
  <dcterms:created xsi:type="dcterms:W3CDTF">2026-02-20T11:52:00Z</dcterms:created>
  <dcterms:modified xsi:type="dcterms:W3CDTF">2026-02-20T11:52:00Z</dcterms:modified>
</cp:coreProperties>
</file>