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City Infrastructure Tender</w:t>
      </w:r>
    </w:p>
    <w:p>
      <w:pPr>
        <w:pStyle w:val="Heading1"/>
      </w:pPr>
      <w:r>
        <w:t>Eligibility Criteria</w:t>
      </w:r>
    </w:p>
    <w:p>
      <w:r>
        <w:t>1. The bidder must have an average annual turnover of at least 50 Crore rupees over the last 3 financial years. (Mandatory)</w:t>
      </w:r>
    </w:p>
    <w:p>
      <w:r>
        <w:t>2. The bidder must have completed at least 3 smart city projects in the last 5 years. (Mandatory)</w:t>
      </w:r>
    </w:p>
    <w:p>
      <w:r>
        <w:t>3. The bidder should possess ISO 9001 Certification.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