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C72A22">
      <w:pPr>
        <w:spacing w:before="300" w:after="40"/>
        <w:rPr>
          <w:rFonts w:hint="default"/>
          <w:lang w:val="en-US"/>
        </w:rPr>
      </w:pPr>
      <w:r>
        <w:rPr>
          <w:rFonts w:ascii="Calibri" w:hAnsi="Calibri" w:eastAsia="Calibri" w:cs="Calibri"/>
          <w:b/>
          <w:bCs/>
          <w:color w:val="F2A516"/>
          <w:spacing w:val="60"/>
          <w:sz w:val="30"/>
          <w:szCs w:val="30"/>
        </w:rPr>
        <w:t xml:space="preserve">TRACK </w:t>
      </w:r>
      <w:r>
        <w:rPr>
          <w:rFonts w:hint="default" w:cs="Calibri"/>
          <w:b/>
          <w:bCs/>
          <w:color w:val="F2A516"/>
          <w:spacing w:val="60"/>
          <w:sz w:val="30"/>
          <w:szCs w:val="30"/>
          <w:lang w:val="en-US"/>
        </w:rPr>
        <w:t>2</w:t>
      </w:r>
    </w:p>
    <w:p w14:paraId="6A2F8BFC">
      <w:pPr>
        <w:pBdr>
          <w:bottom w:val="single" w:color="12285C" w:sz="18" w:space="2"/>
        </w:pBdr>
        <w:spacing w:after="260"/>
        <w:rPr>
          <w:rFonts w:hint="default" w:cs="Calibri"/>
          <w:b/>
          <w:bCs/>
          <w:color w:val="12285C"/>
          <w:sz w:val="44"/>
          <w:szCs w:val="44"/>
          <w:lang w:val="en-US"/>
        </w:rPr>
      </w:pPr>
      <w:r>
        <w:rPr>
          <w:rFonts w:hint="default" w:cs="Calibri"/>
          <w:b/>
          <w:bCs/>
          <w:color w:val="12285C"/>
          <w:sz w:val="44"/>
          <w:szCs w:val="44"/>
          <w:lang w:val="en-US"/>
        </w:rPr>
        <w:t>MARKETING &amp; CONSUMER INTELLIGENCE</w:t>
      </w:r>
    </w:p>
    <w:p w14:paraId="7C7083B2">
      <w:pPr>
        <w:spacing w:after="40"/>
        <w:rPr>
          <w:rFonts w:hint="default"/>
          <w:lang w:val="en-US"/>
        </w:rPr>
      </w:pPr>
      <w:r>
        <w:rPr>
          <w:rFonts w:ascii="Calibri" w:hAnsi="Calibri" w:eastAsia="Calibri" w:cs="Calibri"/>
          <w:b/>
          <w:bCs/>
          <w:color w:val="F2A516"/>
          <w:spacing w:val="40"/>
          <w:sz w:val="22"/>
          <w:szCs w:val="22"/>
        </w:rPr>
        <w:t>PROBLEM STATEMENT  •  TRACK 1-0</w:t>
      </w:r>
      <w:r>
        <w:rPr>
          <w:rFonts w:hint="default" w:cs="Calibri"/>
          <w:b/>
          <w:bCs/>
          <w:color w:val="F2A516"/>
          <w:spacing w:val="40"/>
          <w:sz w:val="22"/>
          <w:szCs w:val="22"/>
          <w:lang w:val="en-US"/>
        </w:rPr>
        <w:t>5</w:t>
      </w:r>
      <w:bookmarkStart w:id="0" w:name="_GoBack"/>
      <w:bookmarkEnd w:id="0"/>
    </w:p>
    <w:p w14:paraId="5B3266D1">
      <w:pPr>
        <w:pStyle w:val="3"/>
        <w:jc w:val="both"/>
        <w:rPr>
          <w:rFonts w:hint="default" w:ascii="Calibri" w:hAnsi="Calibri" w:cs="Calibri"/>
          <w:b/>
          <w:bCs/>
          <w:color w:val="17375E" w:themeColor="text2" w:themeShade="BF"/>
          <w:sz w:val="36"/>
          <w:szCs w:val="36"/>
        </w:rPr>
      </w:pPr>
      <w:r>
        <w:rPr>
          <w:rFonts w:hint="default" w:ascii="Calibri" w:hAnsi="Calibri" w:cs="Calibri"/>
          <w:b/>
          <w:bCs/>
          <w:color w:val="17375E" w:themeColor="text2" w:themeShade="BF"/>
          <w:sz w:val="36"/>
          <w:szCs w:val="36"/>
        </w:rPr>
        <w:t xml:space="preserve"> INTEROPERABLE BENEFITS AND ENTITLEMENT NAVIGATION FOR FINANCIAL INCLUSION</w:t>
      </w:r>
    </w:p>
    <w:p w14:paraId="256951E1">
      <w:pPr>
        <w:pStyle w:val="3"/>
        <w:jc w:val="center"/>
        <w:rPr>
          <w:rFonts w:hint="default" w:ascii="Calibri" w:hAnsi="Calibri" w:cs="Calibri"/>
          <w:b/>
          <w:bCs/>
          <w:color w:val="17375E" w:themeColor="text2" w:themeShade="BF"/>
          <w:sz w:val="36"/>
          <w:szCs w:val="36"/>
        </w:rPr>
      </w:pPr>
    </w:p>
    <w:p w14:paraId="3965FEA0">
      <w:pPr>
        <w:spacing w:after="240"/>
        <w:rPr>
          <w:rFonts w:hint="default" w:ascii="Calibri" w:hAnsi="Calibri" w:cs="Calibri"/>
        </w:rPr>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FB52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12285C" w:sz="24" w:space="0"/>
              <w:bottom w:val="nil"/>
              <w:right w:val="nil"/>
            </w:tcBorders>
            <w:shd w:val="clear" w:color="auto" w:fill="EEF2FA"/>
            <w:tcMar>
              <w:top w:w="110" w:type="dxa"/>
              <w:left w:w="180" w:type="dxa"/>
              <w:bottom w:w="110" w:type="dxa"/>
              <w:right w:w="160" w:type="dxa"/>
            </w:tcMar>
          </w:tcPr>
          <w:p w14:paraId="616AF774">
            <w:pPr>
              <w:spacing w:after="0" w:line="276" w:lineRule="auto"/>
              <w:rPr>
                <w:sz w:val="36"/>
                <w:szCs w:val="36"/>
              </w:rPr>
            </w:pPr>
            <w:r>
              <w:rPr>
                <w:rFonts w:cs="Times New Roman"/>
                <w:sz w:val="36"/>
                <w:szCs w:val="36"/>
              </w:rPr>
              <w:t>Develop an accessible decision-support service that helps eligible users understand potentially relevant public benefits, required documents and application steps across fragmented information sources. The system must not invent eligibility, impersonate government services or store unnecessary identity information.</w:t>
            </w:r>
          </w:p>
        </w:tc>
      </w:tr>
    </w:tbl>
    <w:p w14:paraId="3B0C22D6">
      <w:r>
        <w:drawing>
          <wp:anchor distT="0" distB="0" distL="0" distR="0" simplePos="0" relativeHeight="251659264" behindDoc="1" locked="0" layoutInCell="1" allowOverlap="1">
            <wp:simplePos x="0" y="0"/>
            <wp:positionH relativeFrom="page">
              <wp:align>center</wp:align>
            </wp:positionH>
            <wp:positionV relativeFrom="page">
              <wp:posOffset>5999480</wp:posOffset>
            </wp:positionV>
            <wp:extent cx="4381500" cy="2438400"/>
            <wp:effectExtent l="0" t="0" r="0" b="0"/>
            <wp:wrapNone/>
            <wp:docPr id="1" name="wm" descr="Faded Pragyan 2K26 logo"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m" descr="Faded Pragyan 2K26 logo" title="Watermark"/>
                    <pic:cNvPicPr>
                      <a:picLocks noChangeAspect="1" noChangeArrowheads="1"/>
                    </pic:cNvPicPr>
                  </pic:nvPicPr>
                  <pic:blipFill>
                    <a:blip r:embed="rId5"/>
                    <a:srcRect/>
                    <a:stretch>
                      <a:fillRect/>
                    </a:stretch>
                  </pic:blipFill>
                  <pic:spPr>
                    <a:xfrm>
                      <a:off x="0" y="0"/>
                      <a:ext cx="4381500" cy="2438400"/>
                    </a:xfrm>
                    <a:prstGeom prst="rect">
                      <a:avLst/>
                    </a:prstGeom>
                  </pic:spPr>
                </pic:pic>
              </a:graphicData>
            </a:graphic>
          </wp:anchor>
        </w:drawing>
      </w:r>
    </w:p>
    <w:sectPr>
      <w:headerReference r:id="rId3" w:type="default"/>
      <w:pgSz w:w="11906" w:h="16838"/>
      <w:pgMar w:top="2150" w:right="1134" w:bottom="1000" w:left="1134" w:header="500" w:footer="45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638"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300"/>
      <w:gridCol w:w="5038"/>
      <w:gridCol w:w="2300"/>
    </w:tblGrid>
    <w:tr w14:paraId="0C0F53B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300" w:type="dxa"/>
          <w:tcBorders>
            <w:top w:val="nil"/>
            <w:left w:val="nil"/>
            <w:bottom w:val="nil"/>
            <w:right w:val="nil"/>
          </w:tcBorders>
          <w:tcMar>
            <w:top w:w="0" w:type="dxa"/>
            <w:left w:w="0" w:type="dxa"/>
            <w:bottom w:w="0" w:type="dxa"/>
            <w:right w:w="0" w:type="dxa"/>
          </w:tcMar>
          <w:vAlign w:val="center"/>
        </w:tcPr>
        <w:p w14:paraId="5473B058">
          <w:pPr>
            <w:jc w:val="left"/>
          </w:pPr>
          <w:r>
            <w:drawing>
              <wp:inline distT="0" distB="0" distL="0" distR="0">
                <wp:extent cx="647700" cy="647700"/>
                <wp:effectExtent l="0" t="0" r="0" b="0"/>
                <wp:docPr id="2" name="emblem" descr="Sanjivani University emblem" title="Sanjivani University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mblem" descr="Sanjivani University emblem" title="Sanjivani University emblem"/>
                        <pic:cNvPicPr>
                          <a:picLocks noChangeAspect="1" noChangeArrowheads="1"/>
                        </pic:cNvPicPr>
                      </pic:nvPicPr>
                      <pic:blipFill>
                        <a:blip r:embed="rId1"/>
                        <a:srcRect/>
                        <a:stretch>
                          <a:fillRect/>
                        </a:stretch>
                      </pic:blipFill>
                      <pic:spPr>
                        <a:xfrm>
                          <a:off x="0" y="0"/>
                          <a:ext cx="647700" cy="647700"/>
                        </a:xfrm>
                        <a:prstGeom prst="rect">
                          <a:avLst/>
                        </a:prstGeom>
                      </pic:spPr>
                    </pic:pic>
                  </a:graphicData>
                </a:graphic>
              </wp:inline>
            </w:drawing>
          </w:r>
        </w:p>
      </w:tc>
      <w:tc>
        <w:tcPr>
          <w:tcW w:w="5038" w:type="dxa"/>
          <w:tcBorders>
            <w:top w:val="nil"/>
            <w:left w:val="nil"/>
            <w:bottom w:val="nil"/>
            <w:right w:val="nil"/>
          </w:tcBorders>
          <w:tcMar>
            <w:top w:w="0" w:type="dxa"/>
            <w:left w:w="0" w:type="dxa"/>
            <w:bottom w:w="0" w:type="dxa"/>
            <w:right w:w="0" w:type="dxa"/>
          </w:tcMar>
          <w:vAlign w:val="center"/>
        </w:tcPr>
        <w:p w14:paraId="033A4DEB">
          <w:pPr>
            <w:jc w:val="center"/>
          </w:pPr>
          <w:r>
            <w:drawing>
              <wp:inline distT="0" distB="0" distL="0" distR="0">
                <wp:extent cx="2057400" cy="609600"/>
                <wp:effectExtent l="0" t="0" r="0" b="0"/>
                <wp:docPr id="3" name="wordmark" descr="Sanjivani University wordmark" title="Sanjivani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mark" descr="Sanjivani University wordmark" title="Sanjivani University"/>
                        <pic:cNvPicPr>
                          <a:picLocks noChangeAspect="1" noChangeArrowheads="1"/>
                        </pic:cNvPicPr>
                      </pic:nvPicPr>
                      <pic:blipFill>
                        <a:blip r:embed="rId2"/>
                        <a:srcRect/>
                        <a:stretch>
                          <a:fillRect/>
                        </a:stretch>
                      </pic:blipFill>
                      <pic:spPr>
                        <a:xfrm>
                          <a:off x="0" y="0"/>
                          <a:ext cx="2057400" cy="609600"/>
                        </a:xfrm>
                        <a:prstGeom prst="rect">
                          <a:avLst/>
                        </a:prstGeom>
                      </pic:spPr>
                    </pic:pic>
                  </a:graphicData>
                </a:graphic>
              </wp:inline>
            </w:drawing>
          </w:r>
        </w:p>
      </w:tc>
      <w:tc>
        <w:tcPr>
          <w:tcW w:w="2300" w:type="dxa"/>
          <w:tcBorders>
            <w:top w:val="nil"/>
            <w:left w:val="nil"/>
            <w:bottom w:val="nil"/>
            <w:right w:val="nil"/>
          </w:tcBorders>
          <w:tcMar>
            <w:top w:w="0" w:type="dxa"/>
            <w:left w:w="0" w:type="dxa"/>
            <w:bottom w:w="0" w:type="dxa"/>
            <w:right w:w="0" w:type="dxa"/>
          </w:tcMar>
          <w:vAlign w:val="center"/>
        </w:tcPr>
        <w:p w14:paraId="24B5D5B2">
          <w:pPr>
            <w:jc w:val="right"/>
          </w:pPr>
          <w:r>
            <w:drawing>
              <wp:inline distT="0" distB="0" distL="0" distR="0">
                <wp:extent cx="1047750" cy="581025"/>
                <wp:effectExtent l="0" t="0" r="0" b="0"/>
                <wp:docPr id="4" name="pragyan" descr="Pragyan 2K26 logo" title="Pragyan 2K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ragyan" descr="Pragyan 2K26 logo" title="Pragyan 2K26"/>
                        <pic:cNvPicPr>
                          <a:picLocks noChangeAspect="1" noChangeArrowheads="1"/>
                        </pic:cNvPicPr>
                      </pic:nvPicPr>
                      <pic:blipFill>
                        <a:blip r:embed="rId3"/>
                        <a:srcRect/>
                        <a:stretch>
                          <a:fillRect/>
                        </a:stretch>
                      </pic:blipFill>
                      <pic:spPr>
                        <a:xfrm>
                          <a:off x="0" y="0"/>
                          <a:ext cx="1047750" cy="581025"/>
                        </a:xfrm>
                        <a:prstGeom prst="rect">
                          <a:avLst/>
                        </a:prstGeom>
                      </pic:spPr>
                    </pic:pic>
                  </a:graphicData>
                </a:graphic>
              </wp:inline>
            </w:drawing>
          </w:r>
        </w:p>
      </w:tc>
    </w:tr>
  </w:tbl>
  <w:p w14:paraId="2FB6B509">
    <w:pPr>
      <w:pBdr>
        <w:top w:val="single" w:color="F2A516" w:sz="8" w:space="4"/>
        <w:bottom w:val="single" w:color="12285C" w:sz="12" w:space="4"/>
      </w:pBdr>
      <w:spacing w:before="80" w:after="0"/>
      <w:jc w:val="center"/>
    </w:pPr>
    <w:r>
      <w:fldChar w:fldCharType="begin"/>
    </w:r>
    <w:r>
      <w:instrText xml:space="preserve"> HYPERLINK "https://www.pragyan.live/" </w:instrText>
    </w:r>
    <w:r>
      <w:fldChar w:fldCharType="separate"/>
    </w:r>
    <w:r>
      <w:rPr>
        <w:rFonts w:ascii="Calibri" w:hAnsi="Calibri" w:eastAsia="Calibri" w:cs="Calibri"/>
        <w:b/>
        <w:bCs/>
        <w:color w:val="12285C"/>
        <w:sz w:val="20"/>
        <w:szCs w:val="20"/>
        <w:u w:val="single"/>
      </w:rPr>
      <w:t>PRAGYAN 2K26 • National Level Hackathon on SDG GOAL 2030</w:t>
    </w:r>
    <w:r>
      <w:rPr>
        <w:rFonts w:ascii="Calibri" w:hAnsi="Calibri" w:eastAsia="Calibri" w:cs="Calibri"/>
        <w:b/>
        <w:bCs/>
        <w:color w:val="12285C"/>
        <w:sz w:val="20"/>
        <w:szCs w:val="20"/>
        <w:u w:val="single"/>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isplayBackgroundShape w:val="1"/>
  <w:documentProtection w:enforcement="0"/>
  <w:compat>
    <w:compatSetting w:name="compatibilityMode" w:uri="http://schemas.microsoft.com/office/word" w:val="15"/>
  </w:compat>
  <w:rsids>
    <w:rsidRoot w:val="00000000"/>
    <w:rsid w:val="02B11EFA"/>
    <w:rsid w:val="17386FA6"/>
    <w:rsid w:val="1A854149"/>
    <w:rsid w:val="37BC7880"/>
    <w:rsid w:val="37FA1204"/>
    <w:rsid w:val="64EC0087"/>
    <w:rsid w:val="68C01C20"/>
    <w:rsid w:val="72C873DF"/>
    <w:rsid w:val="7B6C47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basedOn w:val="1"/>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4.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56</Words>
  <Characters>408</Characters>
  <TotalTime>0</TotalTime>
  <ScaleCrop>false</ScaleCrop>
  <LinksUpToDate>false</LinksUpToDate>
  <CharactersWithSpaces>462</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2026-10-23T17:42:00Z</dcterms:created>
  <dc:creator>PRAGYAN 2K26</dc:creator>
  <cp:lastModifiedBy>Vibhav Patel</cp:lastModifiedBy>
  <dcterms:modified xsi:type="dcterms:W3CDTF">2026-10-23T18:07:48Z</dcterms:modified>
  <dc:title>PRAGYAN 2K26 — Track 1: FINTECH &amp; FINANCIAL INNOVATION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eyJoZGlkIjoiNmIwMWIxYzg5NTA1OWQ3OTI1MDZiNTIwM2E5MDdlNDQiLCJ1c2VySWQiOiI1NDk3NjY1MDg3MTIifQ==</vt:lpwstr>
  </property>
  <property fmtid="{D5CDD505-2E9C-101B-9397-08002B2CF9AE}" pid="3" name="KSOProductBuildVer">
    <vt:lpwstr>1033-12.1.0.29162</vt:lpwstr>
  </property>
  <property fmtid="{D5CDD505-2E9C-101B-9397-08002B2CF9AE}" pid="4" name="ICV">
    <vt:lpwstr>28131082E58549C59460E236AD81D09B_13</vt:lpwstr>
  </property>
</Properties>
</file>