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72A22">
      <w:pPr>
        <w:spacing w:before="300" w:after="40"/>
        <w:rPr>
          <w:rFonts w:hint="default"/>
          <w:lang w:val="en-US"/>
        </w:rPr>
      </w:pPr>
      <w:r>
        <w:rPr>
          <w:rFonts w:ascii="Calibri" w:hAnsi="Calibri" w:eastAsia="Calibri" w:cs="Calibri"/>
          <w:b/>
          <w:bCs/>
          <w:color w:val="F2A516"/>
          <w:spacing w:val="60"/>
          <w:sz w:val="30"/>
          <w:szCs w:val="30"/>
        </w:rPr>
        <w:t xml:space="preserve">TRACK </w:t>
      </w:r>
      <w:r>
        <w:rPr>
          <w:rFonts w:hint="default" w:cs="Calibri"/>
          <w:b/>
          <w:bCs/>
          <w:color w:val="F2A516"/>
          <w:spacing w:val="60"/>
          <w:sz w:val="30"/>
          <w:szCs w:val="30"/>
          <w:lang w:val="en-US"/>
        </w:rPr>
        <w:t>2</w:t>
      </w:r>
    </w:p>
    <w:p w14:paraId="6A2F8BFC">
      <w:pPr>
        <w:pBdr>
          <w:bottom w:val="single" w:color="12285C" w:sz="18" w:space="2"/>
        </w:pBdr>
        <w:spacing w:after="260"/>
        <w:rPr>
          <w:rFonts w:hint="default" w:cs="Calibri"/>
          <w:b/>
          <w:bCs/>
          <w:color w:val="12285C"/>
          <w:sz w:val="44"/>
          <w:szCs w:val="44"/>
          <w:lang w:val="en-US"/>
        </w:rPr>
      </w:pPr>
      <w:r>
        <w:rPr>
          <w:rFonts w:hint="default" w:cs="Calibri"/>
          <w:b/>
          <w:bCs/>
          <w:color w:val="12285C"/>
          <w:sz w:val="44"/>
          <w:szCs w:val="44"/>
          <w:lang w:val="en-US"/>
        </w:rPr>
        <w:t>MARKETING &amp; CONSUMER INTELLIGENCE</w:t>
      </w:r>
    </w:p>
    <w:p w14:paraId="7C7083B2">
      <w:pPr>
        <w:spacing w:after="40"/>
        <w:rPr>
          <w:rFonts w:hint="default"/>
          <w:lang w:val="en-US"/>
        </w:rPr>
      </w:pPr>
      <w:r>
        <w:rPr>
          <w:rFonts w:ascii="Calibri" w:hAnsi="Calibri" w:eastAsia="Calibri" w:cs="Calibri"/>
          <w:b/>
          <w:bCs/>
          <w:color w:val="F2A516"/>
          <w:spacing w:val="40"/>
          <w:sz w:val="22"/>
          <w:szCs w:val="22"/>
        </w:rPr>
        <w:t xml:space="preserve">PROBLEM STATEMENT  •  TRACK </w:t>
      </w:r>
      <w:r>
        <w:rPr>
          <w:rFonts w:hint="default" w:cs="Calibri"/>
          <w:b/>
          <w:bCs/>
          <w:color w:val="F2A516"/>
          <w:spacing w:val="40"/>
          <w:sz w:val="22"/>
          <w:szCs w:val="22"/>
          <w:lang w:val="en-US"/>
        </w:rPr>
        <w:t>2</w:t>
      </w:r>
      <w:r>
        <w:rPr>
          <w:rFonts w:ascii="Calibri" w:hAnsi="Calibri" w:eastAsia="Calibri" w:cs="Calibri"/>
          <w:b/>
          <w:bCs/>
          <w:color w:val="F2A516"/>
          <w:spacing w:val="40"/>
          <w:sz w:val="22"/>
          <w:szCs w:val="22"/>
        </w:rPr>
        <w:t>-0</w:t>
      </w:r>
      <w:r>
        <w:rPr>
          <w:rFonts w:hint="default" w:cs="Calibri"/>
          <w:b/>
          <w:bCs/>
          <w:color w:val="F2A516"/>
          <w:spacing w:val="40"/>
          <w:sz w:val="22"/>
          <w:szCs w:val="22"/>
          <w:lang w:val="en-US"/>
        </w:rPr>
        <w:t>2</w:t>
      </w:r>
      <w:bookmarkStart w:id="0" w:name="_GoBack"/>
      <w:bookmarkEnd w:id="0"/>
    </w:p>
    <w:p w14:paraId="3965FEA0">
      <w:pPr>
        <w:spacing w:after="240"/>
        <w:rPr>
          <w:rFonts w:hint="default" w:ascii="Calibri" w:hAnsi="Calibri" w:cs="Calibri"/>
        </w:rPr>
      </w:pPr>
      <w:r>
        <w:rPr>
          <w:rFonts w:ascii="Times New Roman" w:hAnsi="Times New Roman" w:cs="Times New Roman"/>
          <w:sz w:val="24"/>
          <w:szCs w:val="24"/>
        </w:rPr>
        <w:t xml:space="preserve"> </w:t>
      </w:r>
      <w:r>
        <w:rPr>
          <w:rFonts w:hint="default" w:ascii="Calibri" w:hAnsi="Calibri" w:cs="Calibri"/>
          <w:b/>
          <w:bCs/>
          <w:color w:val="17375E" w:themeColor="text2" w:themeShade="BF"/>
          <w:sz w:val="36"/>
          <w:szCs w:val="36"/>
        </w:rPr>
        <w:t>PREDICTIVE FOOD-SURPLUS EXCHANGE WITH DYNAMIC ALLOCATION AND FOOD-SAFETY CONTROLS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FB5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12285C" w:sz="24" w:space="0"/>
              <w:bottom w:val="nil"/>
              <w:right w:val="nil"/>
            </w:tcBorders>
            <w:shd w:val="clear" w:color="auto" w:fill="EEF2FA"/>
            <w:tcMar>
              <w:top w:w="110" w:type="dxa"/>
              <w:left w:w="180" w:type="dxa"/>
              <w:bottom w:w="110" w:type="dxa"/>
              <w:right w:w="160" w:type="dxa"/>
            </w:tcMar>
          </w:tcPr>
          <w:p w14:paraId="616AF774">
            <w:pPr>
              <w:spacing w:after="0" w:line="276" w:lineRule="auto"/>
              <w:rPr>
                <w:sz w:val="36"/>
                <w:szCs w:val="36"/>
              </w:rPr>
            </w:pPr>
            <w:r>
              <w:rPr>
                <w:rFonts w:cs="Times New Roman"/>
                <w:sz w:val="36"/>
                <w:szCs w:val="36"/>
              </w:rPr>
              <w:t>Design a system connecting food retailers, campus kitchens, hotels, producers and verified recipient organisations to prevent edible surplus from becoming waste. The challenge is to predict surplus, allocate it quickly, manage logistics and food safety, and avoid creating a platform that is more expensive than the waste it prevents.</w:t>
            </w:r>
          </w:p>
        </w:tc>
      </w:tr>
    </w:tbl>
    <w:p w14:paraId="3B0C22D6">
      <w:r>
        <w:drawing>
          <wp:anchor distT="0" distB="0" distL="0" distR="0" simplePos="0" relativeHeight="251659264" behindDoc="1" locked="0" layoutInCell="1" allowOverlap="1">
            <wp:simplePos x="0" y="0"/>
            <wp:positionH relativeFrom="page">
              <wp:align>center</wp:align>
            </wp:positionH>
            <wp:positionV relativeFrom="page">
              <wp:posOffset>5999480</wp:posOffset>
            </wp:positionV>
            <wp:extent cx="4381500" cy="2438400"/>
            <wp:effectExtent l="0" t="0" r="0" b="0"/>
            <wp:wrapNone/>
            <wp:docPr id="1" name="wm" descr="Faded Pragyan 2K26 logo"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m" descr="Faded Pragyan 2K26 logo" title="Watermark"/>
                    <pic:cNvPicPr>
                      <a:picLocks noChangeAspect="1" noChangeArrowheads="1"/>
                    </pic:cNvPicPr>
                  </pic:nvPicPr>
                  <pic:blipFill>
                    <a:blip r:embed="rId5"/>
                    <a:srcRect/>
                    <a:stretch>
                      <a:fillRect/>
                    </a:stretch>
                  </pic:blipFill>
                  <pic:spPr>
                    <a:xfrm>
                      <a:off x="0" y="0"/>
                      <a:ext cx="4381500" cy="2438400"/>
                    </a:xfrm>
                    <a:prstGeom prst="rect">
                      <a:avLst/>
                    </a:prstGeom>
                  </pic:spPr>
                </pic:pic>
              </a:graphicData>
            </a:graphic>
          </wp:anchor>
        </w:drawing>
      </w:r>
    </w:p>
    <w:sectPr>
      <w:headerReference r:id="rId3" w:type="default"/>
      <w:pgSz w:w="11906" w:h="16838"/>
      <w:pgMar w:top="2150" w:right="1134" w:bottom="1000" w:left="1134" w:header="500" w:footer="45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38"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300"/>
      <w:gridCol w:w="5038"/>
      <w:gridCol w:w="2300"/>
    </w:tblGrid>
    <w:tr w14:paraId="0C0F53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300" w:type="dxa"/>
          <w:tcBorders>
            <w:top w:val="nil"/>
            <w:left w:val="nil"/>
            <w:bottom w:val="nil"/>
            <w:right w:val="nil"/>
          </w:tcBorders>
          <w:tcMar>
            <w:top w:w="0" w:type="dxa"/>
            <w:left w:w="0" w:type="dxa"/>
            <w:bottom w:w="0" w:type="dxa"/>
            <w:right w:w="0" w:type="dxa"/>
          </w:tcMar>
          <w:vAlign w:val="center"/>
        </w:tcPr>
        <w:p w14:paraId="5473B058">
          <w:pPr>
            <w:jc w:val="left"/>
          </w:pPr>
          <w:r>
            <w:drawing>
              <wp:inline distT="0" distB="0" distL="0" distR="0">
                <wp:extent cx="647700" cy="647700"/>
                <wp:effectExtent l="0" t="0" r="0" b="0"/>
                <wp:docPr id="2" name="emblem" descr="Sanjivani University emblem" title="Sanjivani 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blem" descr="Sanjivani University emblem" title="Sanjivani University emblem"/>
                        <pic:cNvPicPr>
                          <a:picLocks noChangeAspect="1" noChangeArrowheads="1"/>
                        </pic:cNvPicPr>
                      </pic:nvPicPr>
                      <pic:blipFill>
                        <a:blip r:embed="rId1"/>
                        <a:srcRect/>
                        <a:stretch>
                          <a:fillRect/>
                        </a:stretch>
                      </pic:blipFill>
                      <pic:spPr>
                        <a:xfrm>
                          <a:off x="0" y="0"/>
                          <a:ext cx="647700" cy="647700"/>
                        </a:xfrm>
                        <a:prstGeom prst="rect">
                          <a:avLst/>
                        </a:prstGeom>
                      </pic:spPr>
                    </pic:pic>
                  </a:graphicData>
                </a:graphic>
              </wp:inline>
            </w:drawing>
          </w:r>
        </w:p>
      </w:tc>
      <w:tc>
        <w:tcPr>
          <w:tcW w:w="5038" w:type="dxa"/>
          <w:tcBorders>
            <w:top w:val="nil"/>
            <w:left w:val="nil"/>
            <w:bottom w:val="nil"/>
            <w:right w:val="nil"/>
          </w:tcBorders>
          <w:tcMar>
            <w:top w:w="0" w:type="dxa"/>
            <w:left w:w="0" w:type="dxa"/>
            <w:bottom w:w="0" w:type="dxa"/>
            <w:right w:w="0" w:type="dxa"/>
          </w:tcMar>
          <w:vAlign w:val="center"/>
        </w:tcPr>
        <w:p w14:paraId="033A4DEB">
          <w:pPr>
            <w:jc w:val="center"/>
          </w:pPr>
          <w:r>
            <w:drawing>
              <wp:inline distT="0" distB="0" distL="0" distR="0">
                <wp:extent cx="2057400" cy="609600"/>
                <wp:effectExtent l="0" t="0" r="0" b="0"/>
                <wp:docPr id="3" name="wordmark" descr="Sanjivani University wordmark" title="Sanjivani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mark" descr="Sanjivani University wordmark" title="Sanjivani University"/>
                        <pic:cNvPicPr>
                          <a:picLocks noChangeAspect="1" noChangeArrowheads="1"/>
                        </pic:cNvPicPr>
                      </pic:nvPicPr>
                      <pic:blipFill>
                        <a:blip r:embed="rId2"/>
                        <a:srcRect/>
                        <a:stretch>
                          <a:fillRect/>
                        </a:stretch>
                      </pic:blipFill>
                      <pic:spPr>
                        <a:xfrm>
                          <a:off x="0" y="0"/>
                          <a:ext cx="2057400" cy="609600"/>
                        </a:xfrm>
                        <a:prstGeom prst="rect">
                          <a:avLst/>
                        </a:prstGeom>
                      </pic:spPr>
                    </pic:pic>
                  </a:graphicData>
                </a:graphic>
              </wp:inline>
            </w:drawing>
          </w:r>
        </w:p>
      </w:tc>
      <w:tc>
        <w:tcPr>
          <w:tcW w:w="2300" w:type="dxa"/>
          <w:tcBorders>
            <w:top w:val="nil"/>
            <w:left w:val="nil"/>
            <w:bottom w:val="nil"/>
            <w:right w:val="nil"/>
          </w:tcBorders>
          <w:tcMar>
            <w:top w:w="0" w:type="dxa"/>
            <w:left w:w="0" w:type="dxa"/>
            <w:bottom w:w="0" w:type="dxa"/>
            <w:right w:w="0" w:type="dxa"/>
          </w:tcMar>
          <w:vAlign w:val="center"/>
        </w:tcPr>
        <w:p w14:paraId="24B5D5B2">
          <w:pPr>
            <w:jc w:val="right"/>
          </w:pPr>
          <w:r>
            <w:drawing>
              <wp:inline distT="0" distB="0" distL="0" distR="0">
                <wp:extent cx="1047750" cy="581025"/>
                <wp:effectExtent l="0" t="0" r="0" b="0"/>
                <wp:docPr id="4" name="pragyan" descr="Pragyan 2K26 logo" title="Pragyan 2K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agyan" descr="Pragyan 2K26 logo" title="Pragyan 2K26"/>
                        <pic:cNvPicPr>
                          <a:picLocks noChangeAspect="1" noChangeArrowheads="1"/>
                        </pic:cNvPicPr>
                      </pic:nvPicPr>
                      <pic:blipFill>
                        <a:blip r:embed="rId3"/>
                        <a:srcRect/>
                        <a:stretch>
                          <a:fillRect/>
                        </a:stretch>
                      </pic:blipFill>
                      <pic:spPr>
                        <a:xfrm>
                          <a:off x="0" y="0"/>
                          <a:ext cx="1047750" cy="581025"/>
                        </a:xfrm>
                        <a:prstGeom prst="rect">
                          <a:avLst/>
                        </a:prstGeom>
                      </pic:spPr>
                    </pic:pic>
                  </a:graphicData>
                </a:graphic>
              </wp:inline>
            </w:drawing>
          </w:r>
        </w:p>
      </w:tc>
    </w:tr>
  </w:tbl>
  <w:p w14:paraId="2FB6B509">
    <w:pPr>
      <w:pBdr>
        <w:top w:val="single" w:color="F2A516" w:sz="8" w:space="4"/>
        <w:bottom w:val="single" w:color="12285C" w:sz="12" w:space="4"/>
      </w:pBdr>
      <w:spacing w:before="80" w:after="0"/>
      <w:jc w:val="center"/>
    </w:pPr>
    <w:r>
      <w:fldChar w:fldCharType="begin"/>
    </w:r>
    <w:r>
      <w:instrText xml:space="preserve"> HYPERLINK "https://www.pragyan.live/" </w:instrText>
    </w:r>
    <w:r>
      <w:fldChar w:fldCharType="separate"/>
    </w:r>
    <w:r>
      <w:rPr>
        <w:rFonts w:ascii="Calibri" w:hAnsi="Calibri" w:eastAsia="Calibri" w:cs="Calibri"/>
        <w:b/>
        <w:bCs/>
        <w:color w:val="12285C"/>
        <w:sz w:val="20"/>
        <w:szCs w:val="20"/>
        <w:u w:val="single"/>
      </w:rPr>
      <w:t>PRAGYAN 2K26 • National Level Hackathon on SDG GOAL 2030</w:t>
    </w:r>
    <w:r>
      <w:rPr>
        <w:rFonts w:ascii="Calibri" w:hAnsi="Calibri" w:eastAsia="Calibri" w:cs="Calibri"/>
        <w:b/>
        <w:bCs/>
        <w:color w:val="12285C"/>
        <w:sz w:val="20"/>
        <w:szCs w:val="20"/>
        <w:u w:val="single"/>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02B11EFA"/>
    <w:rsid w:val="17386FA6"/>
    <w:rsid w:val="1A854149"/>
    <w:rsid w:val="37BC7880"/>
    <w:rsid w:val="37FA1204"/>
    <w:rsid w:val="5DAD533E"/>
    <w:rsid w:val="68C01C20"/>
    <w:rsid w:val="6CAF1C7F"/>
    <w:rsid w:val="72C873DF"/>
    <w:rsid w:val="7B6C4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basedOn w:val="1"/>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4.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56</Words>
  <Characters>405</Characters>
  <TotalTime>0</TotalTime>
  <ScaleCrop>false</ScaleCrop>
  <LinksUpToDate>false</LinksUpToDate>
  <CharactersWithSpaces>459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2026-10-23T17:42:00Z</dcterms:created>
  <dc:creator>PRAGYAN 2K26</dc:creator>
  <cp:lastModifiedBy>Vibhav Patel</cp:lastModifiedBy>
  <dcterms:modified xsi:type="dcterms:W3CDTF">2026-10-23T18:04:29Z</dcterms:modified>
  <dc:title>PRAGYAN 2K26 — Track 1: FINTECH &amp; FINANCIAL INNOVATION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eyJoZGlkIjoiNmIwMWIxYzg5NTA1OWQ3OTI1MDZiNTIwM2E5MDdlNDQiLCJ1c2VySWQiOiI1NDk3NjY1MDg3MTIifQ==</vt:lpwstr>
  </property>
  <property fmtid="{D5CDD505-2E9C-101B-9397-08002B2CF9AE}" pid="3" name="KSOProductBuildVer">
    <vt:lpwstr>1033-12.1.0.29162</vt:lpwstr>
  </property>
  <property fmtid="{D5CDD505-2E9C-101B-9397-08002B2CF9AE}" pid="4" name="ICV">
    <vt:lpwstr>F539B45654AA480E834F88150DE299CE_13</vt:lpwstr>
  </property>
</Properties>
</file>