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C72A22">
      <w:pPr>
        <w:spacing w:before="300" w:after="40"/>
        <w:rPr>
          <w:rFonts w:hint="default"/>
          <w:lang w:val="en-US"/>
        </w:rPr>
      </w:pPr>
      <w:r>
        <w:rPr>
          <w:rFonts w:ascii="Calibri" w:hAnsi="Calibri" w:eastAsia="Calibri" w:cs="Calibri"/>
          <w:b/>
          <w:bCs/>
          <w:color w:val="F2A516"/>
          <w:spacing w:val="60"/>
          <w:sz w:val="30"/>
          <w:szCs w:val="30"/>
        </w:rPr>
        <w:t xml:space="preserve">TRACK </w:t>
      </w:r>
      <w:r>
        <w:rPr>
          <w:rFonts w:hint="default" w:cs="Calibri"/>
          <w:b/>
          <w:bCs/>
          <w:color w:val="F2A516"/>
          <w:spacing w:val="60"/>
          <w:sz w:val="30"/>
          <w:szCs w:val="30"/>
          <w:lang w:val="en-US"/>
        </w:rPr>
        <w:t>3</w:t>
      </w:r>
    </w:p>
    <w:p w14:paraId="284C8A9A">
      <w:pPr>
        <w:pBdr>
          <w:bottom w:val="single" w:color="12285C" w:sz="18" w:space="2"/>
        </w:pBdr>
        <w:spacing w:after="260"/>
        <w:rPr>
          <w:rFonts w:hint="default"/>
          <w:lang w:val="en-US"/>
        </w:rPr>
      </w:pPr>
      <w:r>
        <w:rPr>
          <w:rFonts w:hint="default" w:cs="Calibri"/>
          <w:b/>
          <w:bCs/>
          <w:color w:val="12285C"/>
          <w:sz w:val="44"/>
          <w:szCs w:val="44"/>
          <w:lang w:val="en-US"/>
        </w:rPr>
        <w:t>SMART OPERATIONS &amp; SUSTAINALE SUPPLY CHAIN</w:t>
      </w:r>
    </w:p>
    <w:p w14:paraId="7C7083B2">
      <w:pPr>
        <w:spacing w:after="40"/>
        <w:rPr>
          <w:rFonts w:hint="default"/>
          <w:lang w:val="en-US"/>
        </w:rPr>
      </w:pPr>
      <w:r>
        <w:rPr>
          <w:rFonts w:ascii="Calibri" w:hAnsi="Calibri" w:eastAsia="Calibri" w:cs="Calibri"/>
          <w:b/>
          <w:bCs/>
          <w:color w:val="F2A516"/>
          <w:spacing w:val="40"/>
          <w:sz w:val="22"/>
          <w:szCs w:val="22"/>
        </w:rPr>
        <w:t xml:space="preserve">PROBLEM STATEMENT  •  TRACK </w:t>
      </w:r>
      <w:r>
        <w:rPr>
          <w:rFonts w:hint="default" w:cs="Calibri"/>
          <w:b/>
          <w:bCs/>
          <w:color w:val="F2A516"/>
          <w:spacing w:val="40"/>
          <w:sz w:val="22"/>
          <w:szCs w:val="22"/>
          <w:lang w:val="en-US"/>
        </w:rPr>
        <w:t>3</w:t>
      </w:r>
      <w:r>
        <w:rPr>
          <w:rFonts w:ascii="Calibri" w:hAnsi="Calibri" w:eastAsia="Calibri" w:cs="Calibri"/>
          <w:b/>
          <w:bCs/>
          <w:color w:val="F2A516"/>
          <w:spacing w:val="40"/>
          <w:sz w:val="22"/>
          <w:szCs w:val="22"/>
        </w:rPr>
        <w:t>-</w:t>
      </w:r>
      <w:r>
        <w:rPr>
          <w:rFonts w:hint="default" w:cs="Calibri"/>
          <w:b/>
          <w:bCs/>
          <w:color w:val="F2A516"/>
          <w:spacing w:val="40"/>
          <w:sz w:val="22"/>
          <w:szCs w:val="22"/>
          <w:lang w:val="en-US"/>
        </w:rPr>
        <w:t>03</w:t>
      </w:r>
    </w:p>
    <w:p w14:paraId="5C1B02D9">
      <w:pPr>
        <w:spacing w:after="240"/>
        <w:rPr>
          <w:rFonts w:hint="default" w:ascii="Times New Roman" w:hAnsi="Times New Roman" w:cs="Times New Roman"/>
          <w:b/>
          <w:bCs/>
          <w:color w:val="17375E" w:themeColor="text2" w:themeShade="BF"/>
          <w:sz w:val="36"/>
          <w:szCs w:val="36"/>
        </w:rPr>
      </w:pPr>
      <w:r>
        <w:rPr>
          <w:rFonts w:hint="default" w:ascii="Times New Roman" w:hAnsi="Times New Roman" w:cs="Times New Roman"/>
          <w:b/>
          <w:bCs/>
          <w:color w:val="17375E" w:themeColor="text2" w:themeShade="BF"/>
          <w:sz w:val="36"/>
          <w:szCs w:val="36"/>
        </w:rPr>
        <w:t>CIRCULAR MANUFACTURING INTELLIGENCE FOR MSME INDUSTRIAL CLUSTERS</w:t>
      </w:r>
    </w:p>
    <w:p w14:paraId="409629D7">
      <w:pPr>
        <w:spacing w:after="240"/>
        <w:rPr>
          <w:rFonts w:hint="default" w:ascii="Times New Roman" w:hAnsi="Times New Roman" w:cs="Times New Roman"/>
          <w:b/>
          <w:bCs/>
          <w:color w:val="17375E" w:themeColor="text2" w:themeShade="BF"/>
          <w:sz w:val="36"/>
          <w:szCs w:val="36"/>
        </w:rPr>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2FB52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tcBorders>
              <w:top w:val="nil"/>
              <w:left w:val="single" w:color="12285C" w:sz="24" w:space="0"/>
              <w:bottom w:val="nil"/>
              <w:right w:val="nil"/>
            </w:tcBorders>
            <w:shd w:val="clear" w:color="auto" w:fill="EEF2FA"/>
            <w:tcMar>
              <w:top w:w="110" w:type="dxa"/>
              <w:left w:w="180" w:type="dxa"/>
              <w:bottom w:w="110" w:type="dxa"/>
              <w:right w:w="160" w:type="dxa"/>
            </w:tcMar>
          </w:tcPr>
          <w:p w14:paraId="0E9B6111">
            <w:pPr>
              <w:jc w:val="both"/>
              <w:rPr>
                <w:color w:val="17375E" w:themeColor="text2" w:themeShade="BF"/>
                <w:sz w:val="36"/>
                <w:szCs w:val="36"/>
              </w:rPr>
            </w:pPr>
            <w:r>
              <w:rPr>
                <w:rFonts w:cs="Times New Roman"/>
                <w:sz w:val="36"/>
                <w:szCs w:val="36"/>
              </w:rPr>
              <w:t>Design a material-flow and by-product exchange system that helps small manufacturers identify waste hotspots, reuse secondary materials and coordinate industrial symbiosis across firms. It must handle inconsistent data, variable material quality, transport cost, confidentiality and the need for verified environmental claims.</w:t>
            </w:r>
          </w:p>
        </w:tc>
      </w:tr>
    </w:tbl>
    <w:p w14:paraId="7CFF8F49">
      <w:bookmarkStart w:id="0" w:name="_GoBack"/>
      <w:r>
        <w:drawing>
          <wp:anchor distT="0" distB="0" distL="0" distR="0" simplePos="0" relativeHeight="251659264" behindDoc="1" locked="0" layoutInCell="1" allowOverlap="1">
            <wp:simplePos x="0" y="0"/>
            <wp:positionH relativeFrom="page">
              <wp:align>center</wp:align>
            </wp:positionH>
            <wp:positionV relativeFrom="page">
              <wp:posOffset>5999480</wp:posOffset>
            </wp:positionV>
            <wp:extent cx="4381500" cy="2438400"/>
            <wp:effectExtent l="0" t="0" r="0" b="0"/>
            <wp:wrapNone/>
            <wp:docPr id="1" name="wm" descr="Faded Pragyan 2K26 logo"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m" descr="Faded Pragyan 2K26 logo" title="Watermark"/>
                    <pic:cNvPicPr>
                      <a:picLocks noChangeAspect="1" noChangeArrowheads="1"/>
                    </pic:cNvPicPr>
                  </pic:nvPicPr>
                  <pic:blipFill>
                    <a:blip r:embed="rId5"/>
                    <a:srcRect/>
                    <a:stretch>
                      <a:fillRect/>
                    </a:stretch>
                  </pic:blipFill>
                  <pic:spPr>
                    <a:xfrm>
                      <a:off x="0" y="0"/>
                      <a:ext cx="4381500" cy="2438400"/>
                    </a:xfrm>
                    <a:prstGeom prst="rect">
                      <a:avLst/>
                    </a:prstGeom>
                  </pic:spPr>
                </pic:pic>
              </a:graphicData>
            </a:graphic>
          </wp:anchor>
        </w:drawing>
      </w:r>
      <w:bookmarkEnd w:id="0"/>
    </w:p>
    <w:sectPr>
      <w:headerReference r:id="rId3" w:type="default"/>
      <w:pgSz w:w="11906" w:h="16838"/>
      <w:pgMar w:top="2150" w:right="1134" w:bottom="1000" w:left="1134" w:header="500" w:footer="45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9638"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300"/>
      <w:gridCol w:w="5038"/>
      <w:gridCol w:w="2300"/>
    </w:tblGrid>
    <w:tr w14:paraId="0C0F53B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2300" w:type="dxa"/>
          <w:tcBorders>
            <w:top w:val="nil"/>
            <w:left w:val="nil"/>
            <w:bottom w:val="nil"/>
            <w:right w:val="nil"/>
          </w:tcBorders>
          <w:tcMar>
            <w:top w:w="0" w:type="dxa"/>
            <w:left w:w="0" w:type="dxa"/>
            <w:bottom w:w="0" w:type="dxa"/>
            <w:right w:w="0" w:type="dxa"/>
          </w:tcMar>
          <w:vAlign w:val="center"/>
        </w:tcPr>
        <w:p w14:paraId="5473B058">
          <w:pPr>
            <w:jc w:val="left"/>
          </w:pPr>
          <w:r>
            <w:drawing>
              <wp:inline distT="0" distB="0" distL="0" distR="0">
                <wp:extent cx="647700" cy="647700"/>
                <wp:effectExtent l="0" t="0" r="0" b="0"/>
                <wp:docPr id="2" name="emblem" descr="Sanjivani University emblem" title="Sanjivani University em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mblem" descr="Sanjivani University emblem" title="Sanjivani University emblem"/>
                        <pic:cNvPicPr>
                          <a:picLocks noChangeAspect="1" noChangeArrowheads="1"/>
                        </pic:cNvPicPr>
                      </pic:nvPicPr>
                      <pic:blipFill>
                        <a:blip r:embed="rId1"/>
                        <a:srcRect/>
                        <a:stretch>
                          <a:fillRect/>
                        </a:stretch>
                      </pic:blipFill>
                      <pic:spPr>
                        <a:xfrm>
                          <a:off x="0" y="0"/>
                          <a:ext cx="647700" cy="647700"/>
                        </a:xfrm>
                        <a:prstGeom prst="rect">
                          <a:avLst/>
                        </a:prstGeom>
                      </pic:spPr>
                    </pic:pic>
                  </a:graphicData>
                </a:graphic>
              </wp:inline>
            </w:drawing>
          </w:r>
        </w:p>
      </w:tc>
      <w:tc>
        <w:tcPr>
          <w:tcW w:w="5038" w:type="dxa"/>
          <w:tcBorders>
            <w:top w:val="nil"/>
            <w:left w:val="nil"/>
            <w:bottom w:val="nil"/>
            <w:right w:val="nil"/>
          </w:tcBorders>
          <w:tcMar>
            <w:top w:w="0" w:type="dxa"/>
            <w:left w:w="0" w:type="dxa"/>
            <w:bottom w:w="0" w:type="dxa"/>
            <w:right w:w="0" w:type="dxa"/>
          </w:tcMar>
          <w:vAlign w:val="center"/>
        </w:tcPr>
        <w:p w14:paraId="033A4DEB">
          <w:pPr>
            <w:jc w:val="center"/>
          </w:pPr>
          <w:r>
            <w:drawing>
              <wp:inline distT="0" distB="0" distL="0" distR="0">
                <wp:extent cx="2057400" cy="609600"/>
                <wp:effectExtent l="0" t="0" r="0" b="0"/>
                <wp:docPr id="3" name="wordmark" descr="Sanjivani University wordmark" title="Sanjivani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mark" descr="Sanjivani University wordmark" title="Sanjivani University"/>
                        <pic:cNvPicPr>
                          <a:picLocks noChangeAspect="1" noChangeArrowheads="1"/>
                        </pic:cNvPicPr>
                      </pic:nvPicPr>
                      <pic:blipFill>
                        <a:blip r:embed="rId2"/>
                        <a:srcRect/>
                        <a:stretch>
                          <a:fillRect/>
                        </a:stretch>
                      </pic:blipFill>
                      <pic:spPr>
                        <a:xfrm>
                          <a:off x="0" y="0"/>
                          <a:ext cx="2057400" cy="609600"/>
                        </a:xfrm>
                        <a:prstGeom prst="rect">
                          <a:avLst/>
                        </a:prstGeom>
                      </pic:spPr>
                    </pic:pic>
                  </a:graphicData>
                </a:graphic>
              </wp:inline>
            </w:drawing>
          </w:r>
        </w:p>
      </w:tc>
      <w:tc>
        <w:tcPr>
          <w:tcW w:w="2300" w:type="dxa"/>
          <w:tcBorders>
            <w:top w:val="nil"/>
            <w:left w:val="nil"/>
            <w:bottom w:val="nil"/>
            <w:right w:val="nil"/>
          </w:tcBorders>
          <w:tcMar>
            <w:top w:w="0" w:type="dxa"/>
            <w:left w:w="0" w:type="dxa"/>
            <w:bottom w:w="0" w:type="dxa"/>
            <w:right w:w="0" w:type="dxa"/>
          </w:tcMar>
          <w:vAlign w:val="center"/>
        </w:tcPr>
        <w:p w14:paraId="24B5D5B2">
          <w:pPr>
            <w:jc w:val="right"/>
          </w:pPr>
          <w:r>
            <w:drawing>
              <wp:inline distT="0" distB="0" distL="0" distR="0">
                <wp:extent cx="1047750" cy="581025"/>
                <wp:effectExtent l="0" t="0" r="0" b="0"/>
                <wp:docPr id="4" name="pragyan" descr="Pragyan 2K26 logo" title="Pragyan 2K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ragyan" descr="Pragyan 2K26 logo" title="Pragyan 2K26"/>
                        <pic:cNvPicPr>
                          <a:picLocks noChangeAspect="1" noChangeArrowheads="1"/>
                        </pic:cNvPicPr>
                      </pic:nvPicPr>
                      <pic:blipFill>
                        <a:blip r:embed="rId3"/>
                        <a:srcRect/>
                        <a:stretch>
                          <a:fillRect/>
                        </a:stretch>
                      </pic:blipFill>
                      <pic:spPr>
                        <a:xfrm>
                          <a:off x="0" y="0"/>
                          <a:ext cx="1047750" cy="581025"/>
                        </a:xfrm>
                        <a:prstGeom prst="rect">
                          <a:avLst/>
                        </a:prstGeom>
                      </pic:spPr>
                    </pic:pic>
                  </a:graphicData>
                </a:graphic>
              </wp:inline>
            </w:drawing>
          </w:r>
        </w:p>
      </w:tc>
    </w:tr>
  </w:tbl>
  <w:p w14:paraId="2FB6B509">
    <w:pPr>
      <w:pBdr>
        <w:top w:val="single" w:color="F2A516" w:sz="8" w:space="4"/>
        <w:bottom w:val="single" w:color="12285C" w:sz="12" w:space="4"/>
      </w:pBdr>
      <w:spacing w:before="80" w:after="0"/>
      <w:jc w:val="center"/>
    </w:pPr>
    <w:r>
      <w:fldChar w:fldCharType="begin"/>
    </w:r>
    <w:r>
      <w:instrText xml:space="preserve"> HYPERLINK "https://www.pragyan.live/" </w:instrText>
    </w:r>
    <w:r>
      <w:fldChar w:fldCharType="separate"/>
    </w:r>
    <w:r>
      <w:rPr>
        <w:rFonts w:ascii="Calibri" w:hAnsi="Calibri" w:eastAsia="Calibri" w:cs="Calibri"/>
        <w:b/>
        <w:bCs/>
        <w:color w:val="12285C"/>
        <w:sz w:val="20"/>
        <w:szCs w:val="20"/>
        <w:u w:val="single"/>
      </w:rPr>
      <w:t>PRAGYAN 2K26 • National Level Hackathon on SDG GOAL 2030</w:t>
    </w:r>
    <w:r>
      <w:rPr>
        <w:rFonts w:ascii="Calibri" w:hAnsi="Calibri" w:eastAsia="Calibri" w:cs="Calibri"/>
        <w:b/>
        <w:bCs/>
        <w:color w:val="12285C"/>
        <w:sz w:val="20"/>
        <w:szCs w:val="20"/>
        <w:u w:val="single"/>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displayBackgroundShape w:val="1"/>
  <w:documentProtection w:enforcement="0"/>
  <w:compat>
    <w:compatSetting w:name="compatibilityMode" w:uri="http://schemas.microsoft.com/office/word" w:val="15"/>
  </w:compat>
  <w:rsids>
    <w:rsidRoot w:val="00000000"/>
    <w:rsid w:val="16124FC5"/>
    <w:rsid w:val="1A854149"/>
    <w:rsid w:val="588178BF"/>
    <w:rsid w:val="624E147C"/>
    <w:rsid w:val="72C873DF"/>
    <w:rsid w:val="7B6C478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basedOn w:val="1"/>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4.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62</Words>
  <Characters>417</Characters>
  <TotalTime>0</TotalTime>
  <ScaleCrop>false</ScaleCrop>
  <LinksUpToDate>false</LinksUpToDate>
  <CharactersWithSpaces>476</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2026-10-23T17:42:00Z</dcterms:created>
  <dc:creator>PRAGYAN 2K26</dc:creator>
  <cp:lastModifiedBy>Vibhav Patel</cp:lastModifiedBy>
  <dcterms:modified xsi:type="dcterms:W3CDTF">2026-10-23T18:11:44Z</dcterms:modified>
  <dc:title>PRAGYAN 2K26 — Track 1: FINTECH &amp; FINANCIAL INNOVATION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eyJoZGlkIjoiNmIwMWIxYzg5NTA1OWQ3OTI1MDZiNTIwM2E5MDdlNDQiLCJ1c2VySWQiOiI1NDk3NjY1MDg3MTIifQ==</vt:lpwstr>
  </property>
  <property fmtid="{D5CDD505-2E9C-101B-9397-08002B2CF9AE}" pid="3" name="KSOProductBuildVer">
    <vt:lpwstr>1033-12.1.0.29162</vt:lpwstr>
  </property>
  <property fmtid="{D5CDD505-2E9C-101B-9397-08002B2CF9AE}" pid="4" name="ICV">
    <vt:lpwstr>6C3C00D87539458DA30ADC3F4D281794_13</vt:lpwstr>
  </property>
</Properties>
</file>