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72A22">
      <w:pPr>
        <w:spacing w:before="300" w:after="40"/>
        <w:rPr>
          <w:rFonts w:hint="default"/>
          <w:lang w:val="en-US"/>
        </w:rPr>
      </w:pPr>
      <w:r>
        <w:rPr>
          <w:rFonts w:ascii="Calibri" w:hAnsi="Calibri" w:eastAsia="Calibri" w:cs="Calibri"/>
          <w:b/>
          <w:bCs/>
          <w:color w:val="F2A516"/>
          <w:spacing w:val="60"/>
          <w:sz w:val="30"/>
          <w:szCs w:val="30"/>
        </w:rPr>
        <w:t xml:space="preserve">TRACK </w:t>
      </w:r>
      <w:r>
        <w:rPr>
          <w:rFonts w:hint="default" w:cs="Calibri"/>
          <w:b/>
          <w:bCs/>
          <w:color w:val="F2A516"/>
          <w:spacing w:val="60"/>
          <w:sz w:val="30"/>
          <w:szCs w:val="30"/>
          <w:lang w:val="en-US"/>
        </w:rPr>
        <w:t>4</w:t>
      </w:r>
      <w:bookmarkStart w:id="0" w:name="_GoBack"/>
      <w:bookmarkEnd w:id="0"/>
    </w:p>
    <w:p w14:paraId="284C8A9A">
      <w:pPr>
        <w:pBdr>
          <w:bottom w:val="single" w:color="12285C" w:sz="18" w:space="2"/>
        </w:pBdr>
        <w:spacing w:after="260"/>
        <w:rPr>
          <w:rFonts w:hint="default"/>
          <w:lang w:val="en-US"/>
        </w:rPr>
      </w:pPr>
      <w:r>
        <w:rPr>
          <w:rFonts w:hint="default" w:cs="Calibri"/>
          <w:b/>
          <w:bCs/>
          <w:color w:val="12285C"/>
          <w:sz w:val="44"/>
          <w:szCs w:val="44"/>
          <w:lang w:val="en-US"/>
        </w:rPr>
        <w:t>ENTREPRENEURSHIP &amp; FUTURE OF MANAGEMENT</w:t>
      </w:r>
    </w:p>
    <w:p w14:paraId="7C7083B2">
      <w:pPr>
        <w:spacing w:after="40"/>
        <w:rPr>
          <w:rFonts w:hint="default"/>
          <w:lang w:val="en-US"/>
        </w:rPr>
      </w:pPr>
      <w:r>
        <w:rPr>
          <w:rFonts w:ascii="Calibri" w:hAnsi="Calibri" w:eastAsia="Calibri" w:cs="Calibri"/>
          <w:b/>
          <w:bCs/>
          <w:color w:val="F2A516"/>
          <w:spacing w:val="40"/>
          <w:sz w:val="22"/>
          <w:szCs w:val="22"/>
        </w:rPr>
        <w:t xml:space="preserve">PROBLEM STATEMENT  •  TRACK </w:t>
      </w:r>
      <w:r>
        <w:rPr>
          <w:rFonts w:hint="default" w:cs="Calibri"/>
          <w:b/>
          <w:bCs/>
          <w:color w:val="F2A516"/>
          <w:spacing w:val="40"/>
          <w:sz w:val="22"/>
          <w:szCs w:val="22"/>
          <w:lang w:val="en-US"/>
        </w:rPr>
        <w:t>4</w:t>
      </w:r>
      <w:r>
        <w:rPr>
          <w:rFonts w:ascii="Calibri" w:hAnsi="Calibri" w:eastAsia="Calibri" w:cs="Calibri"/>
          <w:b/>
          <w:bCs/>
          <w:color w:val="F2A516"/>
          <w:spacing w:val="40"/>
          <w:sz w:val="22"/>
          <w:szCs w:val="22"/>
        </w:rPr>
        <w:t>-</w:t>
      </w:r>
      <w:r>
        <w:rPr>
          <w:rFonts w:hint="default" w:cs="Calibri"/>
          <w:b/>
          <w:bCs/>
          <w:color w:val="F2A516"/>
          <w:spacing w:val="40"/>
          <w:sz w:val="22"/>
          <w:szCs w:val="22"/>
          <w:lang w:val="en-US"/>
        </w:rPr>
        <w:t>01</w:t>
      </w:r>
    </w:p>
    <w:p w14:paraId="190BA4AD">
      <w:pPr>
        <w:pStyle w:val="3"/>
        <w:jc w:val="center"/>
        <w:rPr>
          <w:rFonts w:hint="default" w:ascii="Calibri" w:hAnsi="Calibri" w:cs="Calibri"/>
          <w:b/>
          <w:bCs/>
          <w:color w:val="17375E" w:themeColor="text2" w:themeShade="BF"/>
          <w:sz w:val="36"/>
          <w:szCs w:val="36"/>
        </w:rPr>
      </w:pPr>
      <w:r>
        <w:rPr>
          <w:rFonts w:hint="default" w:ascii="Calibri" w:hAnsi="Calibri" w:cs="Calibri"/>
          <w:b/>
          <w:bCs/>
          <w:color w:val="17375E" w:themeColor="text2" w:themeShade="BF"/>
          <w:sz w:val="36"/>
          <w:szCs w:val="36"/>
        </w:rPr>
        <w:t>AI CO-PILOT FOR MSME PRODUCTIVITY WITH VERIFIABLE RETURN ON INVESTMENT</w:t>
      </w:r>
    </w:p>
    <w:p w14:paraId="7A422B7E">
      <w:pPr>
        <w:spacing w:after="240"/>
        <w:rPr>
          <w:rFonts w:hint="default" w:ascii="Calibri" w:hAnsi="Calibri" w:cs="Calibri"/>
          <w:b/>
          <w:bCs/>
          <w:color w:val="17375E" w:themeColor="text2" w:themeShade="BF"/>
          <w:sz w:val="36"/>
          <w:szCs w:val="36"/>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FB5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12285C" w:sz="24" w:space="0"/>
              <w:bottom w:val="nil"/>
              <w:right w:val="nil"/>
            </w:tcBorders>
            <w:shd w:val="clear" w:color="auto" w:fill="EEF2FA"/>
            <w:tcMar>
              <w:top w:w="110" w:type="dxa"/>
              <w:left w:w="180" w:type="dxa"/>
              <w:bottom w:w="110" w:type="dxa"/>
              <w:right w:w="160" w:type="dxa"/>
            </w:tcMar>
          </w:tcPr>
          <w:p w14:paraId="7F37489A">
            <w:pPr>
              <w:jc w:val="both"/>
              <w:rPr>
                <w:color w:val="17375E" w:themeColor="text2" w:themeShade="BF"/>
                <w:sz w:val="36"/>
                <w:szCs w:val="36"/>
              </w:rPr>
            </w:pPr>
            <w:r>
              <w:rPr>
                <w:rFonts w:cs="Times New Roman"/>
                <w:sz w:val="36"/>
                <w:szCs w:val="36"/>
              </w:rPr>
              <w:t>Develop a domain-specific AI co-pilot for one real workflow in a small business—such as procurement, quotation preparation, customer service, compliance documentation or order planning. The challenge is to improve productivity measurably while preserving human accountability, protecting confidential data and avoiding dependence on expensive infrastructure.</w:t>
            </w:r>
          </w:p>
        </w:tc>
      </w:tr>
    </w:tbl>
    <w:p w14:paraId="128CD6A3">
      <w:r>
        <w:drawing>
          <wp:anchor distT="0" distB="0" distL="0" distR="0" simplePos="0" relativeHeight="251659264" behindDoc="1" locked="0" layoutInCell="1" allowOverlap="1">
            <wp:simplePos x="0" y="0"/>
            <wp:positionH relativeFrom="page">
              <wp:align>center</wp:align>
            </wp:positionH>
            <wp:positionV relativeFrom="page">
              <wp:posOffset>5999480</wp:posOffset>
            </wp:positionV>
            <wp:extent cx="4381500" cy="2438400"/>
            <wp:effectExtent l="0" t="0" r="0" b="0"/>
            <wp:wrapNone/>
            <wp:docPr id="1" name="wm" descr="Faded Pragyan 2K26 logo"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m" descr="Faded Pragyan 2K26 logo" title="Watermark"/>
                    <pic:cNvPicPr>
                      <a:picLocks noChangeAspect="1" noChangeArrowheads="1"/>
                    </pic:cNvPicPr>
                  </pic:nvPicPr>
                  <pic:blipFill>
                    <a:blip r:embed="rId5"/>
                    <a:srcRect/>
                    <a:stretch>
                      <a:fillRect/>
                    </a:stretch>
                  </pic:blipFill>
                  <pic:spPr>
                    <a:xfrm>
                      <a:off x="0" y="0"/>
                      <a:ext cx="4381500" cy="2438400"/>
                    </a:xfrm>
                    <a:prstGeom prst="rect">
                      <a:avLst/>
                    </a:prstGeom>
                  </pic:spPr>
                </pic:pic>
              </a:graphicData>
            </a:graphic>
          </wp:anchor>
        </w:drawing>
      </w:r>
    </w:p>
    <w:sectPr>
      <w:headerReference r:id="rId3" w:type="default"/>
      <w:pgSz w:w="11906" w:h="16838"/>
      <w:pgMar w:top="2150" w:right="1134" w:bottom="1000" w:left="1134" w:header="500" w:footer="45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638"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300"/>
      <w:gridCol w:w="5038"/>
      <w:gridCol w:w="2300"/>
    </w:tblGrid>
    <w:tr w14:paraId="0C0F53B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300" w:type="dxa"/>
          <w:tcBorders>
            <w:top w:val="nil"/>
            <w:left w:val="nil"/>
            <w:bottom w:val="nil"/>
            <w:right w:val="nil"/>
          </w:tcBorders>
          <w:tcMar>
            <w:top w:w="0" w:type="dxa"/>
            <w:left w:w="0" w:type="dxa"/>
            <w:bottom w:w="0" w:type="dxa"/>
            <w:right w:w="0" w:type="dxa"/>
          </w:tcMar>
          <w:vAlign w:val="center"/>
        </w:tcPr>
        <w:p w14:paraId="5473B058">
          <w:pPr>
            <w:jc w:val="left"/>
          </w:pPr>
          <w:r>
            <w:drawing>
              <wp:inline distT="0" distB="0" distL="0" distR="0">
                <wp:extent cx="647700" cy="647700"/>
                <wp:effectExtent l="0" t="0" r="0" b="0"/>
                <wp:docPr id="2" name="emblem" descr="Sanjivani University emblem" title="Sanjivani University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blem" descr="Sanjivani University emblem" title="Sanjivani University emblem"/>
                        <pic:cNvPicPr>
                          <a:picLocks noChangeAspect="1" noChangeArrowheads="1"/>
                        </pic:cNvPicPr>
                      </pic:nvPicPr>
                      <pic:blipFill>
                        <a:blip r:embed="rId1"/>
                        <a:srcRect/>
                        <a:stretch>
                          <a:fillRect/>
                        </a:stretch>
                      </pic:blipFill>
                      <pic:spPr>
                        <a:xfrm>
                          <a:off x="0" y="0"/>
                          <a:ext cx="647700" cy="647700"/>
                        </a:xfrm>
                        <a:prstGeom prst="rect">
                          <a:avLst/>
                        </a:prstGeom>
                      </pic:spPr>
                    </pic:pic>
                  </a:graphicData>
                </a:graphic>
              </wp:inline>
            </w:drawing>
          </w:r>
        </w:p>
      </w:tc>
      <w:tc>
        <w:tcPr>
          <w:tcW w:w="5038" w:type="dxa"/>
          <w:tcBorders>
            <w:top w:val="nil"/>
            <w:left w:val="nil"/>
            <w:bottom w:val="nil"/>
            <w:right w:val="nil"/>
          </w:tcBorders>
          <w:tcMar>
            <w:top w:w="0" w:type="dxa"/>
            <w:left w:w="0" w:type="dxa"/>
            <w:bottom w:w="0" w:type="dxa"/>
            <w:right w:w="0" w:type="dxa"/>
          </w:tcMar>
          <w:vAlign w:val="center"/>
        </w:tcPr>
        <w:p w14:paraId="033A4DEB">
          <w:pPr>
            <w:jc w:val="center"/>
          </w:pPr>
          <w:r>
            <w:drawing>
              <wp:inline distT="0" distB="0" distL="0" distR="0">
                <wp:extent cx="2057400" cy="609600"/>
                <wp:effectExtent l="0" t="0" r="0" b="0"/>
                <wp:docPr id="3" name="wordmark" descr="Sanjivani University wordmark" title="Sanjivani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mark" descr="Sanjivani University wordmark" title="Sanjivani University"/>
                        <pic:cNvPicPr>
                          <a:picLocks noChangeAspect="1" noChangeArrowheads="1"/>
                        </pic:cNvPicPr>
                      </pic:nvPicPr>
                      <pic:blipFill>
                        <a:blip r:embed="rId2"/>
                        <a:srcRect/>
                        <a:stretch>
                          <a:fillRect/>
                        </a:stretch>
                      </pic:blipFill>
                      <pic:spPr>
                        <a:xfrm>
                          <a:off x="0" y="0"/>
                          <a:ext cx="2057400" cy="609600"/>
                        </a:xfrm>
                        <a:prstGeom prst="rect">
                          <a:avLst/>
                        </a:prstGeom>
                      </pic:spPr>
                    </pic:pic>
                  </a:graphicData>
                </a:graphic>
              </wp:inline>
            </w:drawing>
          </w:r>
        </w:p>
      </w:tc>
      <w:tc>
        <w:tcPr>
          <w:tcW w:w="2300" w:type="dxa"/>
          <w:tcBorders>
            <w:top w:val="nil"/>
            <w:left w:val="nil"/>
            <w:bottom w:val="nil"/>
            <w:right w:val="nil"/>
          </w:tcBorders>
          <w:tcMar>
            <w:top w:w="0" w:type="dxa"/>
            <w:left w:w="0" w:type="dxa"/>
            <w:bottom w:w="0" w:type="dxa"/>
            <w:right w:w="0" w:type="dxa"/>
          </w:tcMar>
          <w:vAlign w:val="center"/>
        </w:tcPr>
        <w:p w14:paraId="24B5D5B2">
          <w:pPr>
            <w:jc w:val="right"/>
          </w:pPr>
          <w:r>
            <w:drawing>
              <wp:inline distT="0" distB="0" distL="0" distR="0">
                <wp:extent cx="1047750" cy="581025"/>
                <wp:effectExtent l="0" t="0" r="0" b="0"/>
                <wp:docPr id="4" name="pragyan" descr="Pragyan 2K26 logo" title="Pragyan 2K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agyan" descr="Pragyan 2K26 logo" title="Pragyan 2K26"/>
                        <pic:cNvPicPr>
                          <a:picLocks noChangeAspect="1" noChangeArrowheads="1"/>
                        </pic:cNvPicPr>
                      </pic:nvPicPr>
                      <pic:blipFill>
                        <a:blip r:embed="rId3"/>
                        <a:srcRect/>
                        <a:stretch>
                          <a:fillRect/>
                        </a:stretch>
                      </pic:blipFill>
                      <pic:spPr>
                        <a:xfrm>
                          <a:off x="0" y="0"/>
                          <a:ext cx="1047750" cy="581025"/>
                        </a:xfrm>
                        <a:prstGeom prst="rect">
                          <a:avLst/>
                        </a:prstGeom>
                      </pic:spPr>
                    </pic:pic>
                  </a:graphicData>
                </a:graphic>
              </wp:inline>
            </w:drawing>
          </w:r>
        </w:p>
      </w:tc>
    </w:tr>
  </w:tbl>
  <w:p w14:paraId="2FB6B509">
    <w:pPr>
      <w:pBdr>
        <w:top w:val="single" w:color="F2A516" w:sz="8" w:space="4"/>
        <w:bottom w:val="single" w:color="12285C" w:sz="12" w:space="4"/>
      </w:pBdr>
      <w:spacing w:before="80" w:after="0"/>
      <w:jc w:val="center"/>
    </w:pPr>
    <w:r>
      <w:fldChar w:fldCharType="begin"/>
    </w:r>
    <w:r>
      <w:instrText xml:space="preserve"> HYPERLINK "https://www.pragyan.live/" </w:instrText>
    </w:r>
    <w:r>
      <w:fldChar w:fldCharType="separate"/>
    </w:r>
    <w:r>
      <w:rPr>
        <w:rFonts w:ascii="Calibri" w:hAnsi="Calibri" w:eastAsia="Calibri" w:cs="Calibri"/>
        <w:b/>
        <w:bCs/>
        <w:color w:val="12285C"/>
        <w:sz w:val="20"/>
        <w:szCs w:val="20"/>
        <w:u w:val="single"/>
      </w:rPr>
      <w:t>PRAGYAN 2K26 • National Level Hackathon on SDG GOAL 2030</w:t>
    </w:r>
    <w:r>
      <w:rPr>
        <w:rFonts w:ascii="Calibri" w:hAnsi="Calibri" w:eastAsia="Calibri" w:cs="Calibri"/>
        <w:b/>
        <w:bCs/>
        <w:color w:val="12285C"/>
        <w:sz w:val="20"/>
        <w:szCs w:val="20"/>
        <w:u w:val="single"/>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documentProtection w:enforcement="0"/>
  <w:compat>
    <w:compatSetting w:name="compatibilityMode" w:uri="http://schemas.microsoft.com/office/word" w:val="15"/>
  </w:compat>
  <w:rsids>
    <w:rsidRoot w:val="00000000"/>
    <w:rsid w:val="16124FC5"/>
    <w:rsid w:val="1A854149"/>
    <w:rsid w:val="1D7003DA"/>
    <w:rsid w:val="23092C0A"/>
    <w:rsid w:val="3C1E0664"/>
    <w:rsid w:val="588178BF"/>
    <w:rsid w:val="624E147C"/>
    <w:rsid w:val="6BF74B2E"/>
    <w:rsid w:val="72C873DF"/>
    <w:rsid w:val="762E5D63"/>
    <w:rsid w:val="7B6C4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basedOn w:val="1"/>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4.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66</Words>
  <Characters>443</Characters>
  <TotalTime>0</TotalTime>
  <ScaleCrop>false</ScaleCrop>
  <LinksUpToDate>false</LinksUpToDate>
  <CharactersWithSpaces>506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2026-10-23T17:42:00Z</dcterms:created>
  <dc:creator>PRAGYAN 2K26</dc:creator>
  <cp:lastModifiedBy>Vibhav Patel</cp:lastModifiedBy>
  <dcterms:modified xsi:type="dcterms:W3CDTF">2026-10-23T18:17:36Z</dcterms:modified>
  <dc:title>PRAGYAN 2K26 — Track 1: FINTECH &amp; FINANCIAL INNOVATION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eyJoZGlkIjoiNmIwMWIxYzg5NTA1OWQ3OTI1MDZiNTIwM2E5MDdlNDQiLCJ1c2VySWQiOiI1NDk3NjY1MDg3MTIifQ==</vt:lpwstr>
  </property>
  <property fmtid="{D5CDD505-2E9C-101B-9397-08002B2CF9AE}" pid="3" name="KSOProductBuildVer">
    <vt:lpwstr>1033-12.1.0.29162</vt:lpwstr>
  </property>
  <property fmtid="{D5CDD505-2E9C-101B-9397-08002B2CF9AE}" pid="4" name="ICV">
    <vt:lpwstr>105E21DAEA26435DB2643D0F86DC2559_13</vt:lpwstr>
  </property>
</Properties>
</file>