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b/>
          <w:bCs/>
          <w:color w:val="000000" w:themeColor="text1"/>
          <w:sz w:val="24"/>
          <w:szCs w:val="24"/>
        </w:rPr>
      </w:pPr>
    </w:p>
    <w:p>
      <w:pPr>
        <w:rPr>
          <w:rFonts w:ascii="Times New Roman" w:hAnsi="Times New Roman" w:cs="Times New Roman"/>
          <w:b/>
          <w:bCs/>
          <w:color w:val="000000" w:themeColor="text1"/>
          <w:sz w:val="24"/>
          <w:szCs w:val="24"/>
        </w:rPr>
      </w:pPr>
    </w:p>
    <w:p>
      <w:pPr>
        <w:rPr>
          <w:rFonts w:ascii="Times New Roman" w:hAnsi="Times New Roman" w:cs="Times New Roman"/>
          <w:b/>
          <w:bCs/>
          <w:color w:val="000000" w:themeColor="text1"/>
          <w:sz w:val="24"/>
          <w:szCs w:val="24"/>
        </w:rPr>
      </w:pPr>
    </w:p>
    <w:p>
      <w:pPr>
        <w:rPr>
          <w:rFonts w:ascii="Times New Roman" w:hAnsi="Times New Roman" w:cs="Times New Roman"/>
          <w:b/>
          <w:bCs/>
          <w:color w:val="000000" w:themeColor="text1"/>
          <w:sz w:val="24"/>
          <w:szCs w:val="24"/>
        </w:rPr>
      </w:pPr>
    </w:p>
    <w:p>
      <w:pPr>
        <w:rPr>
          <w:rFonts w:ascii="Times New Roman" w:hAnsi="Times New Roman" w:cs="Times New Roman"/>
          <w:b/>
          <w:bCs/>
          <w:color w:val="000000" w:themeColor="text1"/>
          <w:sz w:val="24"/>
          <w:szCs w:val="24"/>
        </w:rPr>
      </w:pPr>
    </w:p>
    <w:p>
      <w:pPr>
        <w:rPr>
          <w:rFonts w:ascii="Times New Roman" w:hAnsi="Times New Roman" w:cs="Times New Roman"/>
          <w:b/>
          <w:bCs/>
          <w:color w:val="000000" w:themeColor="text1"/>
          <w:sz w:val="24"/>
          <w:szCs w:val="24"/>
        </w:rPr>
      </w:pPr>
    </w:p>
    <w:p>
      <w:pPr>
        <w:rPr>
          <w:rFonts w:ascii="Times New Roman" w:hAnsi="Times New Roman" w:cs="Times New Roman"/>
          <w:b/>
          <w:bCs/>
          <w:color w:val="000000" w:themeColor="text1"/>
          <w:sz w:val="24"/>
          <w:szCs w:val="24"/>
        </w:rPr>
      </w:pPr>
    </w:p>
    <w:p>
      <w:pPr>
        <w:rPr>
          <w:rFonts w:ascii="Times New Roman" w:hAnsi="Times New Roman" w:cs="Times New Roman"/>
          <w:b/>
          <w:bCs/>
          <w:color w:val="000000" w:themeColor="text1"/>
          <w:sz w:val="24"/>
          <w:szCs w:val="24"/>
        </w:rPr>
      </w:pPr>
    </w:p>
    <w:p>
      <w:pPr>
        <w:rPr>
          <w:rFonts w:ascii="Times New Roman" w:hAnsi="Times New Roman" w:cs="Times New Roman"/>
          <w:b/>
          <w:bCs/>
          <w:color w:val="000000" w:themeColor="text1"/>
          <w:sz w:val="24"/>
          <w:szCs w:val="24"/>
        </w:rPr>
      </w:pPr>
    </w:p>
    <w:p>
      <w:pPr>
        <w:jc w:val="center"/>
        <w:rPr>
          <w:rFonts w:ascii="Times New Roman" w:hAnsi="Times New Roman" w:cs="Times New Roman" w:eastAsiaTheme="majorEastAsia"/>
          <w:b/>
          <w:bCs/>
          <w:color w:val="000000" w:themeColor="text1"/>
          <w:sz w:val="24"/>
          <w:szCs w:val="24"/>
        </w:rPr>
      </w:pPr>
      <w:r>
        <w:rPr>
          <w:rFonts w:ascii="Times New Roman" w:hAnsi="Times New Roman" w:cs="Times New Roman"/>
          <w:b/>
          <w:bCs/>
          <w:color w:val="000000" w:themeColor="text1"/>
          <w:sz w:val="24"/>
          <w:szCs w:val="24"/>
        </w:rPr>
        <w:t xml:space="preserve">Business Plan </w:t>
      </w:r>
      <w:bookmarkStart w:id="39" w:name="_GoBack"/>
      <w:bookmarkEnd w:id="39"/>
      <w:r>
        <w:rPr>
          <w:rFonts w:ascii="Times New Roman" w:hAnsi="Times New Roman" w:cs="Times New Roman"/>
          <w:b/>
          <w:bCs/>
          <w:color w:val="000000" w:themeColor="text1"/>
          <w:sz w:val="24"/>
          <w:szCs w:val="24"/>
        </w:rPr>
        <w:br w:type="page"/>
      </w:r>
    </w:p>
    <w:sdt>
      <w:sdtPr>
        <w:rPr>
          <w:rFonts w:ascii="Times New Roman" w:hAnsi="Times New Roman" w:cs="Times New Roman" w:eastAsiaTheme="minorHAnsi"/>
          <w:b/>
          <w:bCs/>
          <w:color w:val="000000" w:themeColor="text1"/>
          <w:sz w:val="24"/>
          <w:szCs w:val="24"/>
        </w:rPr>
        <w:id w:val="-1707487111"/>
        <w:docPartObj>
          <w:docPartGallery w:val="Table of Contents"/>
          <w:docPartUnique/>
        </w:docPartObj>
      </w:sdtPr>
      <w:sdtEndPr>
        <w:rPr>
          <w:rFonts w:ascii="Times New Roman" w:hAnsi="Times New Roman" w:cs="Times New Roman" w:eastAsiaTheme="minorHAnsi"/>
          <w:b/>
          <w:bCs/>
          <w:color w:val="000000" w:themeColor="text1"/>
          <w:sz w:val="24"/>
          <w:szCs w:val="24"/>
        </w:rPr>
      </w:sdtEndPr>
      <w:sdtContent>
        <w:p>
          <w:pPr>
            <w:pStyle w:val="22"/>
            <w:spacing w:line="48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Table of Contents</w:t>
          </w:r>
        </w:p>
        <w:p>
          <w:pPr>
            <w:pStyle w:val="12"/>
            <w:tabs>
              <w:tab w:val="right" w:leader="dot" w:pos="9350"/>
            </w:tabs>
            <w:rPr>
              <w:rFonts w:eastAsiaTheme="minorEastAsia"/>
            </w:rPr>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TOC \o "1-3" \h \z \u </w:instrText>
          </w:r>
          <w:r>
            <w:rPr>
              <w:rFonts w:ascii="Times New Roman" w:hAnsi="Times New Roman" w:cs="Times New Roman"/>
              <w:color w:val="000000" w:themeColor="text1"/>
              <w:sz w:val="24"/>
              <w:szCs w:val="24"/>
            </w:rPr>
            <w:fldChar w:fldCharType="separate"/>
          </w:r>
          <w:r>
            <w:fldChar w:fldCharType="begin"/>
          </w:r>
          <w:r>
            <w:instrText xml:space="preserve"> HYPERLINK \l "_Toc65147130" </w:instrText>
          </w:r>
          <w:r>
            <w:fldChar w:fldCharType="separate"/>
          </w:r>
          <w:r>
            <w:rPr>
              <w:rStyle w:val="10"/>
              <w:rFonts w:ascii="Times New Roman" w:hAnsi="Times New Roman" w:cs="Times New Roman"/>
            </w:rPr>
            <w:t>1.0 Executive Summary</w:t>
          </w:r>
          <w:r>
            <w:tab/>
          </w:r>
          <w:r>
            <w:fldChar w:fldCharType="begin"/>
          </w:r>
          <w:r>
            <w:instrText xml:space="preserve"> PAGEREF _Toc65147130 \h </w:instrText>
          </w:r>
          <w:r>
            <w:fldChar w:fldCharType="separate"/>
          </w:r>
          <w:r>
            <w:t>4</w:t>
          </w:r>
          <w:r>
            <w:fldChar w:fldCharType="end"/>
          </w:r>
          <w:r>
            <w:fldChar w:fldCharType="end"/>
          </w:r>
        </w:p>
        <w:p>
          <w:pPr>
            <w:pStyle w:val="13"/>
            <w:tabs>
              <w:tab w:val="right" w:leader="dot" w:pos="9350"/>
            </w:tabs>
            <w:rPr>
              <w:rFonts w:eastAsiaTheme="minorEastAsia"/>
            </w:rPr>
          </w:pPr>
          <w:r>
            <w:fldChar w:fldCharType="begin"/>
          </w:r>
          <w:r>
            <w:instrText xml:space="preserve"> HYPERLINK \l "_Toc65147131" </w:instrText>
          </w:r>
          <w:r>
            <w:fldChar w:fldCharType="separate"/>
          </w:r>
          <w:r>
            <w:rPr>
              <w:rStyle w:val="10"/>
              <w:rFonts w:ascii="Times New Roman" w:hAnsi="Times New Roman" w:cs="Times New Roman"/>
            </w:rPr>
            <w:t>1.1 Objectives</w:t>
          </w:r>
          <w:r>
            <w:tab/>
          </w:r>
          <w:r>
            <w:fldChar w:fldCharType="begin"/>
          </w:r>
          <w:r>
            <w:instrText xml:space="preserve"> PAGEREF _Toc65147131 \h </w:instrText>
          </w:r>
          <w:r>
            <w:fldChar w:fldCharType="separate"/>
          </w:r>
          <w:r>
            <w:t>4</w:t>
          </w:r>
          <w:r>
            <w:fldChar w:fldCharType="end"/>
          </w:r>
          <w:r>
            <w:fldChar w:fldCharType="end"/>
          </w:r>
        </w:p>
        <w:p>
          <w:pPr>
            <w:pStyle w:val="13"/>
            <w:tabs>
              <w:tab w:val="right" w:leader="dot" w:pos="9350"/>
            </w:tabs>
            <w:rPr>
              <w:rFonts w:eastAsiaTheme="minorEastAsia"/>
            </w:rPr>
          </w:pPr>
          <w:r>
            <w:fldChar w:fldCharType="begin"/>
          </w:r>
          <w:r>
            <w:instrText xml:space="preserve"> HYPERLINK \l "_Toc65147132" </w:instrText>
          </w:r>
          <w:r>
            <w:fldChar w:fldCharType="separate"/>
          </w:r>
          <w:r>
            <w:rPr>
              <w:rStyle w:val="10"/>
              <w:rFonts w:ascii="Times New Roman" w:hAnsi="Times New Roman" w:cs="Times New Roman"/>
            </w:rPr>
            <w:t>1.2 Mission</w:t>
          </w:r>
          <w:r>
            <w:tab/>
          </w:r>
          <w:r>
            <w:fldChar w:fldCharType="begin"/>
          </w:r>
          <w:r>
            <w:instrText xml:space="preserve"> PAGEREF _Toc65147132 \h </w:instrText>
          </w:r>
          <w:r>
            <w:fldChar w:fldCharType="separate"/>
          </w:r>
          <w:r>
            <w:t>4</w:t>
          </w:r>
          <w:r>
            <w:fldChar w:fldCharType="end"/>
          </w:r>
          <w:r>
            <w:fldChar w:fldCharType="end"/>
          </w:r>
        </w:p>
        <w:p>
          <w:pPr>
            <w:pStyle w:val="13"/>
            <w:tabs>
              <w:tab w:val="right" w:leader="dot" w:pos="9350"/>
            </w:tabs>
            <w:rPr>
              <w:rFonts w:eastAsiaTheme="minorEastAsia"/>
            </w:rPr>
          </w:pPr>
          <w:r>
            <w:fldChar w:fldCharType="begin"/>
          </w:r>
          <w:r>
            <w:instrText xml:space="preserve"> HYPERLINK \l "_Toc65147133" </w:instrText>
          </w:r>
          <w:r>
            <w:fldChar w:fldCharType="separate"/>
          </w:r>
          <w:r>
            <w:rPr>
              <w:rStyle w:val="10"/>
              <w:rFonts w:ascii="Times New Roman" w:hAnsi="Times New Roman" w:cs="Times New Roman"/>
            </w:rPr>
            <w:t>1.3 Keys to Success</w:t>
          </w:r>
          <w:r>
            <w:tab/>
          </w:r>
          <w:r>
            <w:fldChar w:fldCharType="begin"/>
          </w:r>
          <w:r>
            <w:instrText xml:space="preserve"> PAGEREF _Toc65147133 \h </w:instrText>
          </w:r>
          <w:r>
            <w:fldChar w:fldCharType="separate"/>
          </w:r>
          <w:r>
            <w:t>5</w:t>
          </w:r>
          <w:r>
            <w:fldChar w:fldCharType="end"/>
          </w:r>
          <w:r>
            <w:fldChar w:fldCharType="end"/>
          </w:r>
        </w:p>
        <w:p>
          <w:pPr>
            <w:pStyle w:val="12"/>
            <w:tabs>
              <w:tab w:val="right" w:leader="dot" w:pos="9350"/>
            </w:tabs>
            <w:rPr>
              <w:rFonts w:eastAsiaTheme="minorEastAsia"/>
            </w:rPr>
          </w:pPr>
          <w:r>
            <w:fldChar w:fldCharType="begin"/>
          </w:r>
          <w:r>
            <w:instrText xml:space="preserve"> HYPERLINK \l "_Toc65147134" </w:instrText>
          </w:r>
          <w:r>
            <w:fldChar w:fldCharType="separate"/>
          </w:r>
          <w:r>
            <w:rPr>
              <w:rStyle w:val="10"/>
              <w:rFonts w:ascii="Times New Roman" w:hAnsi="Times New Roman" w:cs="Times New Roman"/>
            </w:rPr>
            <w:t>2.0 Company Summary</w:t>
          </w:r>
          <w:r>
            <w:tab/>
          </w:r>
          <w:r>
            <w:fldChar w:fldCharType="begin"/>
          </w:r>
          <w:r>
            <w:instrText xml:space="preserve"> PAGEREF _Toc65147134 \h </w:instrText>
          </w:r>
          <w:r>
            <w:fldChar w:fldCharType="separate"/>
          </w:r>
          <w:r>
            <w:t>5</w:t>
          </w:r>
          <w:r>
            <w:fldChar w:fldCharType="end"/>
          </w:r>
          <w:r>
            <w:fldChar w:fldCharType="end"/>
          </w:r>
        </w:p>
        <w:p>
          <w:pPr>
            <w:pStyle w:val="13"/>
            <w:tabs>
              <w:tab w:val="right" w:leader="dot" w:pos="9350"/>
            </w:tabs>
            <w:rPr>
              <w:rFonts w:eastAsiaTheme="minorEastAsia"/>
            </w:rPr>
          </w:pPr>
          <w:r>
            <w:fldChar w:fldCharType="begin"/>
          </w:r>
          <w:r>
            <w:instrText xml:space="preserve"> HYPERLINK \l "_Toc65147135" </w:instrText>
          </w:r>
          <w:r>
            <w:fldChar w:fldCharType="separate"/>
          </w:r>
          <w:r>
            <w:rPr>
              <w:rStyle w:val="10"/>
              <w:rFonts w:ascii="Times New Roman" w:hAnsi="Times New Roman" w:cs="Times New Roman"/>
            </w:rPr>
            <w:t>2.1 Company Ownership</w:t>
          </w:r>
          <w:r>
            <w:tab/>
          </w:r>
          <w:r>
            <w:fldChar w:fldCharType="begin"/>
          </w:r>
          <w:r>
            <w:instrText xml:space="preserve"> PAGEREF _Toc65147135 \h </w:instrText>
          </w:r>
          <w:r>
            <w:fldChar w:fldCharType="separate"/>
          </w:r>
          <w:r>
            <w:t>6</w:t>
          </w:r>
          <w:r>
            <w:fldChar w:fldCharType="end"/>
          </w:r>
          <w:r>
            <w:fldChar w:fldCharType="end"/>
          </w:r>
        </w:p>
        <w:p>
          <w:pPr>
            <w:pStyle w:val="13"/>
            <w:tabs>
              <w:tab w:val="right" w:leader="dot" w:pos="9350"/>
            </w:tabs>
            <w:rPr>
              <w:rFonts w:eastAsiaTheme="minorEastAsia"/>
            </w:rPr>
          </w:pPr>
          <w:r>
            <w:fldChar w:fldCharType="begin"/>
          </w:r>
          <w:r>
            <w:instrText xml:space="preserve"> HYPERLINK \l "_Toc65147136" </w:instrText>
          </w:r>
          <w:r>
            <w:fldChar w:fldCharType="separate"/>
          </w:r>
          <w:r>
            <w:rPr>
              <w:rStyle w:val="10"/>
              <w:rFonts w:ascii="Times New Roman" w:hAnsi="Times New Roman" w:cs="Times New Roman"/>
            </w:rPr>
            <w:t>2.2 Start-up and Sources of Funds</w:t>
          </w:r>
          <w:r>
            <w:tab/>
          </w:r>
          <w:r>
            <w:fldChar w:fldCharType="begin"/>
          </w:r>
          <w:r>
            <w:instrText xml:space="preserve"> PAGEREF _Toc65147136 \h </w:instrText>
          </w:r>
          <w:r>
            <w:fldChar w:fldCharType="separate"/>
          </w:r>
          <w:r>
            <w:t>7</w:t>
          </w:r>
          <w:r>
            <w:fldChar w:fldCharType="end"/>
          </w:r>
          <w:r>
            <w:fldChar w:fldCharType="end"/>
          </w:r>
        </w:p>
        <w:p>
          <w:pPr>
            <w:pStyle w:val="13"/>
            <w:tabs>
              <w:tab w:val="right" w:leader="dot" w:pos="9350"/>
            </w:tabs>
            <w:rPr>
              <w:rFonts w:eastAsiaTheme="minorEastAsia"/>
            </w:rPr>
          </w:pPr>
          <w:r>
            <w:fldChar w:fldCharType="begin"/>
          </w:r>
          <w:r>
            <w:instrText xml:space="preserve"> HYPERLINK \l "_Toc65147137" </w:instrText>
          </w:r>
          <w:r>
            <w:fldChar w:fldCharType="separate"/>
          </w:r>
          <w:r>
            <w:rPr>
              <w:rStyle w:val="10"/>
              <w:rFonts w:ascii="Times New Roman" w:hAnsi="Times New Roman" w:cs="Times New Roman"/>
            </w:rPr>
            <w:t>2.3 Company Location and Facilities</w:t>
          </w:r>
          <w:r>
            <w:tab/>
          </w:r>
          <w:r>
            <w:fldChar w:fldCharType="begin"/>
          </w:r>
          <w:r>
            <w:instrText xml:space="preserve"> PAGEREF _Toc65147137 \h </w:instrText>
          </w:r>
          <w:r>
            <w:fldChar w:fldCharType="separate"/>
          </w:r>
          <w:r>
            <w:t>9</w:t>
          </w:r>
          <w:r>
            <w:fldChar w:fldCharType="end"/>
          </w:r>
          <w:r>
            <w:fldChar w:fldCharType="end"/>
          </w:r>
        </w:p>
        <w:p>
          <w:pPr>
            <w:pStyle w:val="12"/>
            <w:tabs>
              <w:tab w:val="right" w:leader="dot" w:pos="9350"/>
            </w:tabs>
            <w:rPr>
              <w:rFonts w:eastAsiaTheme="minorEastAsia"/>
            </w:rPr>
          </w:pPr>
          <w:r>
            <w:fldChar w:fldCharType="begin"/>
          </w:r>
          <w:r>
            <w:instrText xml:space="preserve"> HYPERLINK \l "_Toc65147138" </w:instrText>
          </w:r>
          <w:r>
            <w:fldChar w:fldCharType="separate"/>
          </w:r>
          <w:r>
            <w:rPr>
              <w:rStyle w:val="10"/>
              <w:rFonts w:ascii="Times New Roman" w:hAnsi="Times New Roman" w:cs="Times New Roman"/>
            </w:rPr>
            <w:t>3.0 Services</w:t>
          </w:r>
          <w:r>
            <w:tab/>
          </w:r>
          <w:r>
            <w:fldChar w:fldCharType="begin"/>
          </w:r>
          <w:r>
            <w:instrText xml:space="preserve"> PAGEREF _Toc65147138 \h </w:instrText>
          </w:r>
          <w:r>
            <w:fldChar w:fldCharType="separate"/>
          </w:r>
          <w:r>
            <w:t>9</w:t>
          </w:r>
          <w:r>
            <w:fldChar w:fldCharType="end"/>
          </w:r>
          <w:r>
            <w:fldChar w:fldCharType="end"/>
          </w:r>
        </w:p>
        <w:p>
          <w:pPr>
            <w:pStyle w:val="13"/>
            <w:tabs>
              <w:tab w:val="right" w:leader="dot" w:pos="9350"/>
            </w:tabs>
            <w:rPr>
              <w:rFonts w:eastAsiaTheme="minorEastAsia"/>
            </w:rPr>
          </w:pPr>
          <w:r>
            <w:fldChar w:fldCharType="begin"/>
          </w:r>
          <w:r>
            <w:instrText xml:space="preserve"> HYPERLINK \l "_Toc65147139" </w:instrText>
          </w:r>
          <w:r>
            <w:fldChar w:fldCharType="separate"/>
          </w:r>
          <w:r>
            <w:rPr>
              <w:rStyle w:val="10"/>
              <w:rFonts w:ascii="Times New Roman" w:hAnsi="Times New Roman" w:cs="Times New Roman"/>
            </w:rPr>
            <w:t>3.1 Service Description</w:t>
          </w:r>
          <w:r>
            <w:tab/>
          </w:r>
          <w:r>
            <w:fldChar w:fldCharType="begin"/>
          </w:r>
          <w:r>
            <w:instrText xml:space="preserve"> PAGEREF _Toc65147139 \h </w:instrText>
          </w:r>
          <w:r>
            <w:fldChar w:fldCharType="separate"/>
          </w:r>
          <w:r>
            <w:t>10</w:t>
          </w:r>
          <w:r>
            <w:fldChar w:fldCharType="end"/>
          </w:r>
          <w:r>
            <w:fldChar w:fldCharType="end"/>
          </w:r>
        </w:p>
        <w:p>
          <w:pPr>
            <w:pStyle w:val="13"/>
            <w:tabs>
              <w:tab w:val="right" w:leader="dot" w:pos="9350"/>
            </w:tabs>
            <w:rPr>
              <w:rFonts w:eastAsiaTheme="minorEastAsia"/>
            </w:rPr>
          </w:pPr>
          <w:r>
            <w:fldChar w:fldCharType="begin"/>
          </w:r>
          <w:r>
            <w:instrText xml:space="preserve"> HYPERLINK \l "_Toc65147140" </w:instrText>
          </w:r>
          <w:r>
            <w:fldChar w:fldCharType="separate"/>
          </w:r>
          <w:r>
            <w:rPr>
              <w:rStyle w:val="10"/>
              <w:rFonts w:ascii="Times New Roman" w:hAnsi="Times New Roman" w:cs="Times New Roman"/>
            </w:rPr>
            <w:t>3.2 Competitive Comparison</w:t>
          </w:r>
          <w:r>
            <w:tab/>
          </w:r>
          <w:r>
            <w:fldChar w:fldCharType="begin"/>
          </w:r>
          <w:r>
            <w:instrText xml:space="preserve"> PAGEREF _Toc65147140 \h </w:instrText>
          </w:r>
          <w:r>
            <w:fldChar w:fldCharType="separate"/>
          </w:r>
          <w:r>
            <w:t>11</w:t>
          </w:r>
          <w:r>
            <w:fldChar w:fldCharType="end"/>
          </w:r>
          <w:r>
            <w:fldChar w:fldCharType="end"/>
          </w:r>
        </w:p>
        <w:p>
          <w:pPr>
            <w:pStyle w:val="13"/>
            <w:tabs>
              <w:tab w:val="right" w:leader="dot" w:pos="9350"/>
            </w:tabs>
            <w:rPr>
              <w:rFonts w:eastAsiaTheme="minorEastAsia"/>
            </w:rPr>
          </w:pPr>
          <w:r>
            <w:fldChar w:fldCharType="begin"/>
          </w:r>
          <w:r>
            <w:instrText xml:space="preserve"> HYPERLINK \l "_Toc65147141" </w:instrText>
          </w:r>
          <w:r>
            <w:fldChar w:fldCharType="separate"/>
          </w:r>
          <w:r>
            <w:rPr>
              <w:rStyle w:val="10"/>
              <w:rFonts w:ascii="Times New Roman" w:hAnsi="Times New Roman" w:cs="Times New Roman"/>
            </w:rPr>
            <w:t>3.3 Sales Literature</w:t>
          </w:r>
          <w:r>
            <w:tab/>
          </w:r>
          <w:r>
            <w:fldChar w:fldCharType="begin"/>
          </w:r>
          <w:r>
            <w:instrText xml:space="preserve"> PAGEREF _Toc65147141 \h </w:instrText>
          </w:r>
          <w:r>
            <w:fldChar w:fldCharType="separate"/>
          </w:r>
          <w:r>
            <w:t>13</w:t>
          </w:r>
          <w:r>
            <w:fldChar w:fldCharType="end"/>
          </w:r>
          <w:r>
            <w:fldChar w:fldCharType="end"/>
          </w:r>
        </w:p>
        <w:p>
          <w:pPr>
            <w:pStyle w:val="13"/>
            <w:tabs>
              <w:tab w:val="right" w:leader="dot" w:pos="9350"/>
            </w:tabs>
            <w:rPr>
              <w:rFonts w:eastAsiaTheme="minorEastAsia"/>
            </w:rPr>
          </w:pPr>
          <w:r>
            <w:fldChar w:fldCharType="begin"/>
          </w:r>
          <w:r>
            <w:instrText xml:space="preserve"> HYPERLINK \l "_Toc65147142" </w:instrText>
          </w:r>
          <w:r>
            <w:fldChar w:fldCharType="separate"/>
          </w:r>
          <w:r>
            <w:rPr>
              <w:rStyle w:val="10"/>
              <w:rFonts w:ascii="Times New Roman" w:hAnsi="Times New Roman" w:cs="Times New Roman"/>
            </w:rPr>
            <w:t>3.4 Fulfilment</w:t>
          </w:r>
          <w:r>
            <w:tab/>
          </w:r>
          <w:r>
            <w:fldChar w:fldCharType="begin"/>
          </w:r>
          <w:r>
            <w:instrText xml:space="preserve"> PAGEREF _Toc65147142 \h </w:instrText>
          </w:r>
          <w:r>
            <w:fldChar w:fldCharType="separate"/>
          </w:r>
          <w:r>
            <w:t>14</w:t>
          </w:r>
          <w:r>
            <w:fldChar w:fldCharType="end"/>
          </w:r>
          <w:r>
            <w:fldChar w:fldCharType="end"/>
          </w:r>
        </w:p>
        <w:p>
          <w:pPr>
            <w:pStyle w:val="13"/>
            <w:tabs>
              <w:tab w:val="right" w:leader="dot" w:pos="9350"/>
            </w:tabs>
            <w:rPr>
              <w:rFonts w:eastAsiaTheme="minorEastAsia"/>
            </w:rPr>
          </w:pPr>
          <w:r>
            <w:fldChar w:fldCharType="begin"/>
          </w:r>
          <w:r>
            <w:instrText xml:space="preserve"> HYPERLINK \l "_Toc65147143" </w:instrText>
          </w:r>
          <w:r>
            <w:fldChar w:fldCharType="separate"/>
          </w:r>
          <w:r>
            <w:rPr>
              <w:rStyle w:val="10"/>
              <w:rFonts w:ascii="Times New Roman" w:hAnsi="Times New Roman" w:cs="Times New Roman"/>
            </w:rPr>
            <w:t>3.5 Technology</w:t>
          </w:r>
          <w:r>
            <w:tab/>
          </w:r>
          <w:r>
            <w:fldChar w:fldCharType="begin"/>
          </w:r>
          <w:r>
            <w:instrText xml:space="preserve"> PAGEREF _Toc65147143 \h </w:instrText>
          </w:r>
          <w:r>
            <w:fldChar w:fldCharType="separate"/>
          </w:r>
          <w:r>
            <w:t>14</w:t>
          </w:r>
          <w:r>
            <w:fldChar w:fldCharType="end"/>
          </w:r>
          <w:r>
            <w:fldChar w:fldCharType="end"/>
          </w:r>
        </w:p>
        <w:p>
          <w:pPr>
            <w:pStyle w:val="13"/>
            <w:tabs>
              <w:tab w:val="right" w:leader="dot" w:pos="9350"/>
            </w:tabs>
            <w:rPr>
              <w:rFonts w:eastAsiaTheme="minorEastAsia"/>
            </w:rPr>
          </w:pPr>
          <w:r>
            <w:fldChar w:fldCharType="begin"/>
          </w:r>
          <w:r>
            <w:instrText xml:space="preserve"> HYPERLINK \l "_Toc65147144" </w:instrText>
          </w:r>
          <w:r>
            <w:fldChar w:fldCharType="separate"/>
          </w:r>
          <w:r>
            <w:rPr>
              <w:rStyle w:val="10"/>
              <w:rFonts w:ascii="Times New Roman" w:hAnsi="Times New Roman" w:cs="Times New Roman"/>
            </w:rPr>
            <w:t>3.6 Future Services</w:t>
          </w:r>
          <w:r>
            <w:tab/>
          </w:r>
          <w:r>
            <w:fldChar w:fldCharType="begin"/>
          </w:r>
          <w:r>
            <w:instrText xml:space="preserve"> PAGEREF _Toc65147144 \h </w:instrText>
          </w:r>
          <w:r>
            <w:fldChar w:fldCharType="separate"/>
          </w:r>
          <w:r>
            <w:t>15</w:t>
          </w:r>
          <w:r>
            <w:fldChar w:fldCharType="end"/>
          </w:r>
          <w:r>
            <w:fldChar w:fldCharType="end"/>
          </w:r>
        </w:p>
        <w:p>
          <w:pPr>
            <w:pStyle w:val="12"/>
            <w:tabs>
              <w:tab w:val="right" w:leader="dot" w:pos="9350"/>
            </w:tabs>
            <w:rPr>
              <w:rFonts w:eastAsiaTheme="minorEastAsia"/>
            </w:rPr>
          </w:pPr>
          <w:r>
            <w:fldChar w:fldCharType="begin"/>
          </w:r>
          <w:r>
            <w:instrText xml:space="preserve"> HYPERLINK \l "_Toc65147145" </w:instrText>
          </w:r>
          <w:r>
            <w:fldChar w:fldCharType="separate"/>
          </w:r>
          <w:r>
            <w:rPr>
              <w:rStyle w:val="10"/>
              <w:rFonts w:ascii="Times New Roman" w:hAnsi="Times New Roman" w:cs="Times New Roman"/>
            </w:rPr>
            <w:t>4.0 Market Analysis Summary</w:t>
          </w:r>
          <w:r>
            <w:tab/>
          </w:r>
          <w:r>
            <w:fldChar w:fldCharType="begin"/>
          </w:r>
          <w:r>
            <w:instrText xml:space="preserve"> PAGEREF _Toc65147145 \h </w:instrText>
          </w:r>
          <w:r>
            <w:fldChar w:fldCharType="separate"/>
          </w:r>
          <w:r>
            <w:t>15</w:t>
          </w:r>
          <w:r>
            <w:fldChar w:fldCharType="end"/>
          </w:r>
          <w:r>
            <w:fldChar w:fldCharType="end"/>
          </w:r>
        </w:p>
        <w:p>
          <w:pPr>
            <w:pStyle w:val="13"/>
            <w:tabs>
              <w:tab w:val="right" w:leader="dot" w:pos="9350"/>
            </w:tabs>
            <w:rPr>
              <w:rFonts w:eastAsiaTheme="minorEastAsia"/>
            </w:rPr>
          </w:pPr>
          <w:r>
            <w:fldChar w:fldCharType="begin"/>
          </w:r>
          <w:r>
            <w:instrText xml:space="preserve"> HYPERLINK \l "_Toc65147146" </w:instrText>
          </w:r>
          <w:r>
            <w:fldChar w:fldCharType="separate"/>
          </w:r>
          <w:r>
            <w:rPr>
              <w:rStyle w:val="10"/>
              <w:rFonts w:ascii="Times New Roman" w:hAnsi="Times New Roman" w:cs="Times New Roman"/>
            </w:rPr>
            <w:t>4.1 Market Segmentation</w:t>
          </w:r>
          <w:r>
            <w:tab/>
          </w:r>
          <w:r>
            <w:fldChar w:fldCharType="begin"/>
          </w:r>
          <w:r>
            <w:instrText xml:space="preserve"> PAGEREF _Toc65147146 \h </w:instrText>
          </w:r>
          <w:r>
            <w:fldChar w:fldCharType="separate"/>
          </w:r>
          <w:r>
            <w:t>15</w:t>
          </w:r>
          <w:r>
            <w:fldChar w:fldCharType="end"/>
          </w:r>
          <w:r>
            <w:fldChar w:fldCharType="end"/>
          </w:r>
        </w:p>
        <w:p>
          <w:pPr>
            <w:pStyle w:val="13"/>
            <w:tabs>
              <w:tab w:val="right" w:leader="dot" w:pos="9350"/>
            </w:tabs>
            <w:rPr>
              <w:rFonts w:eastAsiaTheme="minorEastAsia"/>
            </w:rPr>
          </w:pPr>
          <w:r>
            <w:fldChar w:fldCharType="begin"/>
          </w:r>
          <w:r>
            <w:instrText xml:space="preserve"> HYPERLINK \l "_Toc65147147" </w:instrText>
          </w:r>
          <w:r>
            <w:fldChar w:fldCharType="separate"/>
          </w:r>
          <w:r>
            <w:rPr>
              <w:rStyle w:val="10"/>
              <w:rFonts w:ascii="Times New Roman" w:hAnsi="Times New Roman" w:cs="Times New Roman"/>
            </w:rPr>
            <w:t>4.2 Target Market Segment Strategy</w:t>
          </w:r>
          <w:r>
            <w:tab/>
          </w:r>
          <w:r>
            <w:fldChar w:fldCharType="begin"/>
          </w:r>
          <w:r>
            <w:instrText xml:space="preserve"> PAGEREF _Toc65147147 \h </w:instrText>
          </w:r>
          <w:r>
            <w:fldChar w:fldCharType="separate"/>
          </w:r>
          <w:r>
            <w:t>15</w:t>
          </w:r>
          <w:r>
            <w:fldChar w:fldCharType="end"/>
          </w:r>
          <w:r>
            <w:fldChar w:fldCharType="end"/>
          </w:r>
        </w:p>
        <w:p>
          <w:pPr>
            <w:pStyle w:val="13"/>
            <w:tabs>
              <w:tab w:val="right" w:leader="dot" w:pos="9350"/>
            </w:tabs>
            <w:rPr>
              <w:rFonts w:eastAsiaTheme="minorEastAsia"/>
            </w:rPr>
          </w:pPr>
          <w:r>
            <w:fldChar w:fldCharType="begin"/>
          </w:r>
          <w:r>
            <w:instrText xml:space="preserve"> HYPERLINK \l "_Toc65147148" </w:instrText>
          </w:r>
          <w:r>
            <w:fldChar w:fldCharType="separate"/>
          </w:r>
          <w:r>
            <w:rPr>
              <w:rStyle w:val="10"/>
              <w:rFonts w:ascii="Times New Roman" w:hAnsi="Times New Roman" w:cs="Times New Roman"/>
            </w:rPr>
            <w:t>4.3 Service Business Analysis</w:t>
          </w:r>
          <w:r>
            <w:tab/>
          </w:r>
          <w:r>
            <w:fldChar w:fldCharType="begin"/>
          </w:r>
          <w:r>
            <w:instrText xml:space="preserve"> PAGEREF _Toc65147148 \h </w:instrText>
          </w:r>
          <w:r>
            <w:fldChar w:fldCharType="separate"/>
          </w:r>
          <w:r>
            <w:t>16</w:t>
          </w:r>
          <w:r>
            <w:fldChar w:fldCharType="end"/>
          </w:r>
          <w:r>
            <w:fldChar w:fldCharType="end"/>
          </w:r>
        </w:p>
        <w:p>
          <w:pPr>
            <w:pStyle w:val="14"/>
            <w:tabs>
              <w:tab w:val="right" w:leader="dot" w:pos="9350"/>
            </w:tabs>
            <w:rPr>
              <w:rFonts w:eastAsiaTheme="minorEastAsia"/>
            </w:rPr>
          </w:pPr>
          <w:r>
            <w:fldChar w:fldCharType="begin"/>
          </w:r>
          <w:r>
            <w:instrText xml:space="preserve"> HYPERLINK \l "_Toc65147149" </w:instrText>
          </w:r>
          <w:r>
            <w:fldChar w:fldCharType="separate"/>
          </w:r>
          <w:r>
            <w:rPr>
              <w:rStyle w:val="10"/>
              <w:rFonts w:ascii="Times New Roman" w:hAnsi="Times New Roman" w:cs="Times New Roman"/>
            </w:rPr>
            <w:t>4.3.1 Business Participants</w:t>
          </w:r>
          <w:r>
            <w:tab/>
          </w:r>
          <w:r>
            <w:fldChar w:fldCharType="begin"/>
          </w:r>
          <w:r>
            <w:instrText xml:space="preserve"> PAGEREF _Toc65147149 \h </w:instrText>
          </w:r>
          <w:r>
            <w:fldChar w:fldCharType="separate"/>
          </w:r>
          <w:r>
            <w:t>16</w:t>
          </w:r>
          <w:r>
            <w:fldChar w:fldCharType="end"/>
          </w:r>
          <w:r>
            <w:fldChar w:fldCharType="end"/>
          </w:r>
        </w:p>
        <w:p>
          <w:pPr>
            <w:pStyle w:val="14"/>
            <w:tabs>
              <w:tab w:val="right" w:leader="dot" w:pos="9350"/>
            </w:tabs>
            <w:rPr>
              <w:rFonts w:eastAsiaTheme="minorEastAsia"/>
            </w:rPr>
          </w:pPr>
          <w:r>
            <w:fldChar w:fldCharType="begin"/>
          </w:r>
          <w:r>
            <w:instrText xml:space="preserve"> HYPERLINK \l "_Toc65147150" </w:instrText>
          </w:r>
          <w:r>
            <w:fldChar w:fldCharType="separate"/>
          </w:r>
          <w:r>
            <w:rPr>
              <w:rStyle w:val="10"/>
              <w:rFonts w:ascii="Times New Roman" w:hAnsi="Times New Roman" w:cs="Times New Roman"/>
            </w:rPr>
            <w:t>4.3.2 Distributing a Service</w:t>
          </w:r>
          <w:r>
            <w:tab/>
          </w:r>
          <w:r>
            <w:fldChar w:fldCharType="begin"/>
          </w:r>
          <w:r>
            <w:instrText xml:space="preserve"> PAGEREF _Toc65147150 \h </w:instrText>
          </w:r>
          <w:r>
            <w:fldChar w:fldCharType="separate"/>
          </w:r>
          <w:r>
            <w:t>16</w:t>
          </w:r>
          <w:r>
            <w:fldChar w:fldCharType="end"/>
          </w:r>
          <w:r>
            <w:fldChar w:fldCharType="end"/>
          </w:r>
        </w:p>
        <w:p>
          <w:pPr>
            <w:pStyle w:val="14"/>
            <w:tabs>
              <w:tab w:val="right" w:leader="dot" w:pos="9350"/>
            </w:tabs>
            <w:rPr>
              <w:rFonts w:eastAsiaTheme="minorEastAsia"/>
            </w:rPr>
          </w:pPr>
          <w:r>
            <w:fldChar w:fldCharType="begin"/>
          </w:r>
          <w:r>
            <w:instrText xml:space="preserve"> HYPERLINK \l "_Toc65147151" </w:instrText>
          </w:r>
          <w:r>
            <w:fldChar w:fldCharType="separate"/>
          </w:r>
          <w:r>
            <w:rPr>
              <w:rStyle w:val="10"/>
              <w:rFonts w:ascii="Times New Roman" w:hAnsi="Times New Roman" w:cs="Times New Roman"/>
            </w:rPr>
            <w:t>4.3.3 Competition</w:t>
          </w:r>
          <w:r>
            <w:tab/>
          </w:r>
          <w:r>
            <w:fldChar w:fldCharType="begin"/>
          </w:r>
          <w:r>
            <w:instrText xml:space="preserve"> PAGEREF _Toc65147151 \h </w:instrText>
          </w:r>
          <w:r>
            <w:fldChar w:fldCharType="separate"/>
          </w:r>
          <w:r>
            <w:t>16</w:t>
          </w:r>
          <w:r>
            <w:fldChar w:fldCharType="end"/>
          </w:r>
          <w:r>
            <w:fldChar w:fldCharType="end"/>
          </w:r>
        </w:p>
        <w:p>
          <w:pPr>
            <w:pStyle w:val="14"/>
            <w:tabs>
              <w:tab w:val="right" w:leader="dot" w:pos="9350"/>
            </w:tabs>
            <w:rPr>
              <w:rFonts w:eastAsiaTheme="minorEastAsia"/>
            </w:rPr>
          </w:pPr>
          <w:r>
            <w:fldChar w:fldCharType="begin"/>
          </w:r>
          <w:r>
            <w:instrText xml:space="preserve"> HYPERLINK \l "_Toc65147152" </w:instrText>
          </w:r>
          <w:r>
            <w:fldChar w:fldCharType="separate"/>
          </w:r>
          <w:r>
            <w:rPr>
              <w:rStyle w:val="10"/>
              <w:rFonts w:ascii="Times New Roman" w:hAnsi="Times New Roman" w:cs="Times New Roman"/>
            </w:rPr>
            <w:t>4.3.4 Key Competitor</w:t>
          </w:r>
          <w:r>
            <w:tab/>
          </w:r>
          <w:r>
            <w:fldChar w:fldCharType="begin"/>
          </w:r>
          <w:r>
            <w:instrText xml:space="preserve"> PAGEREF _Toc65147152 \h </w:instrText>
          </w:r>
          <w:r>
            <w:fldChar w:fldCharType="separate"/>
          </w:r>
          <w:r>
            <w:t>16</w:t>
          </w:r>
          <w:r>
            <w:fldChar w:fldCharType="end"/>
          </w:r>
          <w:r>
            <w:fldChar w:fldCharType="end"/>
          </w:r>
        </w:p>
        <w:p>
          <w:pPr>
            <w:pStyle w:val="12"/>
            <w:tabs>
              <w:tab w:val="right" w:leader="dot" w:pos="9350"/>
            </w:tabs>
            <w:rPr>
              <w:rFonts w:eastAsiaTheme="minorEastAsia"/>
            </w:rPr>
          </w:pPr>
          <w:r>
            <w:fldChar w:fldCharType="begin"/>
          </w:r>
          <w:r>
            <w:instrText xml:space="preserve"> HYPERLINK \l "_Toc65147153" </w:instrText>
          </w:r>
          <w:r>
            <w:fldChar w:fldCharType="separate"/>
          </w:r>
          <w:r>
            <w:rPr>
              <w:rStyle w:val="10"/>
              <w:rFonts w:ascii="Times New Roman" w:hAnsi="Times New Roman" w:cs="Times New Roman"/>
            </w:rPr>
            <w:t>5.0 Strategy and Implementation Summary</w:t>
          </w:r>
          <w:r>
            <w:tab/>
          </w:r>
          <w:r>
            <w:fldChar w:fldCharType="begin"/>
          </w:r>
          <w:r>
            <w:instrText xml:space="preserve"> PAGEREF _Toc65147153 \h </w:instrText>
          </w:r>
          <w:r>
            <w:fldChar w:fldCharType="separate"/>
          </w:r>
          <w:r>
            <w:t>17</w:t>
          </w:r>
          <w:r>
            <w:fldChar w:fldCharType="end"/>
          </w:r>
          <w:r>
            <w:fldChar w:fldCharType="end"/>
          </w:r>
        </w:p>
        <w:p>
          <w:pPr>
            <w:pStyle w:val="13"/>
            <w:tabs>
              <w:tab w:val="right" w:leader="dot" w:pos="9350"/>
            </w:tabs>
            <w:rPr>
              <w:rFonts w:eastAsiaTheme="minorEastAsia"/>
            </w:rPr>
          </w:pPr>
          <w:r>
            <w:fldChar w:fldCharType="begin"/>
          </w:r>
          <w:r>
            <w:instrText xml:space="preserve"> HYPERLINK \l "_Toc65147154" </w:instrText>
          </w:r>
          <w:r>
            <w:fldChar w:fldCharType="separate"/>
          </w:r>
          <w:r>
            <w:rPr>
              <w:rStyle w:val="10"/>
              <w:rFonts w:ascii="Times New Roman" w:hAnsi="Times New Roman" w:cs="Times New Roman"/>
            </w:rPr>
            <w:t>5.1 Competitive Advantages</w:t>
          </w:r>
          <w:r>
            <w:tab/>
          </w:r>
          <w:r>
            <w:fldChar w:fldCharType="begin"/>
          </w:r>
          <w:r>
            <w:instrText xml:space="preserve"> PAGEREF _Toc65147154 \h </w:instrText>
          </w:r>
          <w:r>
            <w:fldChar w:fldCharType="separate"/>
          </w:r>
          <w:r>
            <w:t>17</w:t>
          </w:r>
          <w:r>
            <w:fldChar w:fldCharType="end"/>
          </w:r>
          <w:r>
            <w:fldChar w:fldCharType="end"/>
          </w:r>
        </w:p>
        <w:p>
          <w:pPr>
            <w:pStyle w:val="13"/>
            <w:tabs>
              <w:tab w:val="right" w:leader="dot" w:pos="9350"/>
            </w:tabs>
            <w:rPr>
              <w:rFonts w:eastAsiaTheme="minorEastAsia"/>
            </w:rPr>
          </w:pPr>
          <w:r>
            <w:fldChar w:fldCharType="begin"/>
          </w:r>
          <w:r>
            <w:instrText xml:space="preserve"> HYPERLINK \l "_Toc65147155" </w:instrText>
          </w:r>
          <w:r>
            <w:fldChar w:fldCharType="separate"/>
          </w:r>
          <w:r>
            <w:rPr>
              <w:rStyle w:val="10"/>
              <w:rFonts w:ascii="Times New Roman" w:hAnsi="Times New Roman" w:cs="Times New Roman"/>
            </w:rPr>
            <w:t>5.2 Pricing Strategy</w:t>
          </w:r>
          <w:r>
            <w:tab/>
          </w:r>
          <w:r>
            <w:fldChar w:fldCharType="begin"/>
          </w:r>
          <w:r>
            <w:instrText xml:space="preserve"> PAGEREF _Toc65147155 \h </w:instrText>
          </w:r>
          <w:r>
            <w:fldChar w:fldCharType="separate"/>
          </w:r>
          <w:r>
            <w:t>17</w:t>
          </w:r>
          <w:r>
            <w:fldChar w:fldCharType="end"/>
          </w:r>
          <w:r>
            <w:fldChar w:fldCharType="end"/>
          </w:r>
        </w:p>
        <w:p>
          <w:pPr>
            <w:pStyle w:val="13"/>
            <w:tabs>
              <w:tab w:val="right" w:leader="dot" w:pos="9350"/>
            </w:tabs>
            <w:rPr>
              <w:rFonts w:eastAsiaTheme="minorEastAsia"/>
            </w:rPr>
          </w:pPr>
          <w:r>
            <w:fldChar w:fldCharType="begin"/>
          </w:r>
          <w:r>
            <w:instrText xml:space="preserve"> HYPERLINK \l "_Toc65147156" </w:instrText>
          </w:r>
          <w:r>
            <w:fldChar w:fldCharType="separate"/>
          </w:r>
          <w:r>
            <w:rPr>
              <w:rStyle w:val="10"/>
              <w:rFonts w:ascii="Times New Roman" w:hAnsi="Times New Roman" w:cs="Times New Roman"/>
            </w:rPr>
            <w:t>5.3 Sales Strategy</w:t>
          </w:r>
          <w:r>
            <w:tab/>
          </w:r>
          <w:r>
            <w:fldChar w:fldCharType="begin"/>
          </w:r>
          <w:r>
            <w:instrText xml:space="preserve"> PAGEREF _Toc65147156 \h </w:instrText>
          </w:r>
          <w:r>
            <w:fldChar w:fldCharType="separate"/>
          </w:r>
          <w:r>
            <w:t>18</w:t>
          </w:r>
          <w:r>
            <w:fldChar w:fldCharType="end"/>
          </w:r>
          <w:r>
            <w:fldChar w:fldCharType="end"/>
          </w:r>
        </w:p>
        <w:p>
          <w:pPr>
            <w:pStyle w:val="13"/>
            <w:tabs>
              <w:tab w:val="right" w:leader="dot" w:pos="9350"/>
            </w:tabs>
            <w:rPr>
              <w:rFonts w:eastAsiaTheme="minorEastAsia"/>
            </w:rPr>
          </w:pPr>
          <w:r>
            <w:fldChar w:fldCharType="begin"/>
          </w:r>
          <w:r>
            <w:instrText xml:space="preserve"> HYPERLINK \l "_Toc65147157" </w:instrText>
          </w:r>
          <w:r>
            <w:fldChar w:fldCharType="separate"/>
          </w:r>
          <w:r>
            <w:rPr>
              <w:rStyle w:val="10"/>
              <w:rFonts w:ascii="Times New Roman" w:hAnsi="Times New Roman" w:cs="Times New Roman"/>
            </w:rPr>
            <w:t>5.4 Milestones</w:t>
          </w:r>
          <w:r>
            <w:tab/>
          </w:r>
          <w:r>
            <w:fldChar w:fldCharType="begin"/>
          </w:r>
          <w:r>
            <w:instrText xml:space="preserve"> PAGEREF _Toc65147157 \h </w:instrText>
          </w:r>
          <w:r>
            <w:fldChar w:fldCharType="separate"/>
          </w:r>
          <w:r>
            <w:t>19</w:t>
          </w:r>
          <w:r>
            <w:fldChar w:fldCharType="end"/>
          </w:r>
          <w:r>
            <w:fldChar w:fldCharType="end"/>
          </w:r>
        </w:p>
        <w:p>
          <w:pPr>
            <w:pStyle w:val="12"/>
            <w:tabs>
              <w:tab w:val="right" w:leader="dot" w:pos="9350"/>
            </w:tabs>
            <w:rPr>
              <w:rFonts w:eastAsiaTheme="minorEastAsia"/>
            </w:rPr>
          </w:pPr>
          <w:r>
            <w:fldChar w:fldCharType="begin"/>
          </w:r>
          <w:r>
            <w:instrText xml:space="preserve"> HYPERLINK \l "_Toc65147158" </w:instrText>
          </w:r>
          <w:r>
            <w:fldChar w:fldCharType="separate"/>
          </w:r>
          <w:r>
            <w:rPr>
              <w:rStyle w:val="10"/>
              <w:rFonts w:ascii="Times New Roman" w:hAnsi="Times New Roman" w:cs="Times New Roman"/>
            </w:rPr>
            <w:t>6.0 Management Summary</w:t>
          </w:r>
          <w:r>
            <w:tab/>
          </w:r>
          <w:r>
            <w:fldChar w:fldCharType="begin"/>
          </w:r>
          <w:r>
            <w:instrText xml:space="preserve"> PAGEREF _Toc65147158 \h </w:instrText>
          </w:r>
          <w:r>
            <w:fldChar w:fldCharType="separate"/>
          </w:r>
          <w:r>
            <w:t>20</w:t>
          </w:r>
          <w:r>
            <w:fldChar w:fldCharType="end"/>
          </w:r>
          <w:r>
            <w:fldChar w:fldCharType="end"/>
          </w:r>
        </w:p>
        <w:p>
          <w:pPr>
            <w:pStyle w:val="13"/>
            <w:tabs>
              <w:tab w:val="right" w:leader="dot" w:pos="9350"/>
            </w:tabs>
            <w:rPr>
              <w:rFonts w:eastAsiaTheme="minorEastAsia"/>
            </w:rPr>
          </w:pPr>
          <w:r>
            <w:fldChar w:fldCharType="begin"/>
          </w:r>
          <w:r>
            <w:instrText xml:space="preserve"> HYPERLINK \l "_Toc65147159" </w:instrText>
          </w:r>
          <w:r>
            <w:fldChar w:fldCharType="separate"/>
          </w:r>
          <w:r>
            <w:rPr>
              <w:rStyle w:val="10"/>
              <w:rFonts w:ascii="Times New Roman" w:hAnsi="Times New Roman" w:cs="Times New Roman"/>
            </w:rPr>
            <w:t>6.1 Organisational Structure</w:t>
          </w:r>
          <w:r>
            <w:tab/>
          </w:r>
          <w:r>
            <w:fldChar w:fldCharType="begin"/>
          </w:r>
          <w:r>
            <w:instrText xml:space="preserve"> PAGEREF _Toc65147159 \h </w:instrText>
          </w:r>
          <w:r>
            <w:fldChar w:fldCharType="separate"/>
          </w:r>
          <w:r>
            <w:t>20</w:t>
          </w:r>
          <w:r>
            <w:fldChar w:fldCharType="end"/>
          </w:r>
          <w:r>
            <w:fldChar w:fldCharType="end"/>
          </w:r>
        </w:p>
        <w:p>
          <w:pPr>
            <w:pStyle w:val="13"/>
            <w:tabs>
              <w:tab w:val="right" w:leader="dot" w:pos="9350"/>
            </w:tabs>
            <w:rPr>
              <w:rFonts w:eastAsiaTheme="minorEastAsia"/>
            </w:rPr>
          </w:pPr>
          <w:r>
            <w:fldChar w:fldCharType="begin"/>
          </w:r>
          <w:r>
            <w:instrText xml:space="preserve"> HYPERLINK \l "_Toc65147160" </w:instrText>
          </w:r>
          <w:r>
            <w:fldChar w:fldCharType="separate"/>
          </w:r>
          <w:r>
            <w:rPr>
              <w:rStyle w:val="10"/>
              <w:rFonts w:ascii="Times New Roman" w:hAnsi="Times New Roman" w:cs="Times New Roman"/>
            </w:rPr>
            <w:t>6.2 Management Team</w:t>
          </w:r>
          <w:r>
            <w:tab/>
          </w:r>
          <w:r>
            <w:fldChar w:fldCharType="begin"/>
          </w:r>
          <w:r>
            <w:instrText xml:space="preserve"> PAGEREF _Toc65147160 \h </w:instrText>
          </w:r>
          <w:r>
            <w:fldChar w:fldCharType="separate"/>
          </w:r>
          <w:r>
            <w:t>20</w:t>
          </w:r>
          <w:r>
            <w:fldChar w:fldCharType="end"/>
          </w:r>
          <w:r>
            <w:fldChar w:fldCharType="end"/>
          </w:r>
        </w:p>
        <w:p>
          <w:pPr>
            <w:pStyle w:val="14"/>
            <w:tabs>
              <w:tab w:val="right" w:leader="dot" w:pos="9350"/>
            </w:tabs>
            <w:ind w:left="0" w:leftChars="0" w:firstLine="220" w:firstLineChars="100"/>
            <w:rPr>
              <w:rFonts w:eastAsiaTheme="minorEastAsia"/>
            </w:rPr>
          </w:pPr>
          <w:r>
            <w:fldChar w:fldCharType="begin"/>
          </w:r>
          <w:r>
            <w:instrText xml:space="preserve"> HYPERLINK \l "_Toc65147161" </w:instrText>
          </w:r>
          <w:r>
            <w:fldChar w:fldCharType="separate"/>
          </w:r>
          <w:r>
            <w:rPr>
              <w:rStyle w:val="10"/>
              <w:rFonts w:ascii="Times New Roman" w:hAnsi="Times New Roman" w:cs="Times New Roman"/>
            </w:rPr>
            <w:t>6.3 Personnel Plan</w:t>
          </w:r>
          <w:r>
            <w:tab/>
          </w:r>
          <w:r>
            <w:fldChar w:fldCharType="begin"/>
          </w:r>
          <w:r>
            <w:instrText xml:space="preserve"> PAGEREF _Toc65147161 \h </w:instrText>
          </w:r>
          <w:r>
            <w:fldChar w:fldCharType="separate"/>
          </w:r>
          <w:r>
            <w:t>21</w:t>
          </w:r>
          <w:r>
            <w:fldChar w:fldCharType="end"/>
          </w:r>
          <w:r>
            <w:fldChar w:fldCharType="end"/>
          </w:r>
        </w:p>
        <w:p>
          <w:pPr>
            <w:pStyle w:val="12"/>
            <w:tabs>
              <w:tab w:val="right" w:leader="dot" w:pos="9350"/>
            </w:tabs>
            <w:rPr>
              <w:rFonts w:eastAsiaTheme="minorEastAsia"/>
            </w:rPr>
          </w:pPr>
          <w:r>
            <w:fldChar w:fldCharType="begin"/>
          </w:r>
          <w:r>
            <w:instrText xml:space="preserve"> HYPERLINK \l "_Toc65147162" </w:instrText>
          </w:r>
          <w:r>
            <w:fldChar w:fldCharType="separate"/>
          </w:r>
          <w:r>
            <w:rPr>
              <w:rStyle w:val="10"/>
              <w:rFonts w:ascii="Times New Roman" w:hAnsi="Times New Roman" w:cs="Times New Roman"/>
            </w:rPr>
            <w:t>7.0 Financial Plan</w:t>
          </w:r>
          <w:r>
            <w:tab/>
          </w:r>
          <w:r>
            <w:fldChar w:fldCharType="begin"/>
          </w:r>
          <w:r>
            <w:instrText xml:space="preserve"> PAGEREF _Toc65147162 \h </w:instrText>
          </w:r>
          <w:r>
            <w:fldChar w:fldCharType="separate"/>
          </w:r>
          <w:r>
            <w:t>21</w:t>
          </w:r>
          <w:r>
            <w:fldChar w:fldCharType="end"/>
          </w:r>
          <w:r>
            <w:fldChar w:fldCharType="end"/>
          </w:r>
        </w:p>
        <w:p>
          <w:pPr>
            <w:pStyle w:val="13"/>
            <w:tabs>
              <w:tab w:val="right" w:leader="dot" w:pos="9350"/>
            </w:tabs>
            <w:rPr>
              <w:rFonts w:eastAsiaTheme="minorEastAsia"/>
            </w:rPr>
          </w:pPr>
          <w:r>
            <w:fldChar w:fldCharType="begin"/>
          </w:r>
          <w:r>
            <w:instrText xml:space="preserve"> HYPERLINK \l "_Toc65147163" </w:instrText>
          </w:r>
          <w:r>
            <w:fldChar w:fldCharType="separate"/>
          </w:r>
          <w:r>
            <w:rPr>
              <w:rStyle w:val="10"/>
              <w:rFonts w:ascii="Times New Roman" w:hAnsi="Times New Roman" w:cs="Times New Roman"/>
            </w:rPr>
            <w:t>7.1 Important Assumptions</w:t>
          </w:r>
          <w:r>
            <w:tab/>
          </w:r>
          <w:r>
            <w:fldChar w:fldCharType="begin"/>
          </w:r>
          <w:r>
            <w:instrText xml:space="preserve"> PAGEREF _Toc65147163 \h </w:instrText>
          </w:r>
          <w:r>
            <w:fldChar w:fldCharType="separate"/>
          </w:r>
          <w:r>
            <w:t>21</w:t>
          </w:r>
          <w:r>
            <w:fldChar w:fldCharType="end"/>
          </w:r>
          <w:r>
            <w:fldChar w:fldCharType="end"/>
          </w:r>
        </w:p>
        <w:p>
          <w:pPr>
            <w:pStyle w:val="13"/>
            <w:tabs>
              <w:tab w:val="right" w:leader="dot" w:pos="9350"/>
            </w:tabs>
            <w:rPr>
              <w:rFonts w:eastAsiaTheme="minorEastAsia"/>
            </w:rPr>
          </w:pPr>
          <w:r>
            <w:fldChar w:fldCharType="begin"/>
          </w:r>
          <w:r>
            <w:instrText xml:space="preserve"> HYPERLINK \l "_Toc65147164" </w:instrText>
          </w:r>
          <w:r>
            <w:fldChar w:fldCharType="separate"/>
          </w:r>
          <w:r>
            <w:rPr>
              <w:rStyle w:val="10"/>
              <w:rFonts w:ascii="Times New Roman" w:hAnsi="Times New Roman" w:cs="Times New Roman"/>
            </w:rPr>
            <w:t>7.2 Projected Profit and Loss Account</w:t>
          </w:r>
          <w:r>
            <w:tab/>
          </w:r>
          <w:r>
            <w:fldChar w:fldCharType="begin"/>
          </w:r>
          <w:r>
            <w:instrText xml:space="preserve"> PAGEREF _Toc65147164 \h </w:instrText>
          </w:r>
          <w:r>
            <w:fldChar w:fldCharType="separate"/>
          </w:r>
          <w:r>
            <w:t>22</w:t>
          </w:r>
          <w:r>
            <w:fldChar w:fldCharType="end"/>
          </w:r>
          <w:r>
            <w:fldChar w:fldCharType="end"/>
          </w:r>
        </w:p>
        <w:p>
          <w:pPr>
            <w:pStyle w:val="13"/>
            <w:tabs>
              <w:tab w:val="right" w:leader="dot" w:pos="9350"/>
            </w:tabs>
            <w:rPr>
              <w:rFonts w:eastAsiaTheme="minorEastAsia"/>
            </w:rPr>
          </w:pPr>
          <w:r>
            <w:fldChar w:fldCharType="begin"/>
          </w:r>
          <w:r>
            <w:instrText xml:space="preserve"> HYPERLINK \l "_Toc65147165" </w:instrText>
          </w:r>
          <w:r>
            <w:fldChar w:fldCharType="separate"/>
          </w:r>
          <w:r>
            <w:rPr>
              <w:rStyle w:val="10"/>
              <w:rFonts w:ascii="Times New Roman" w:hAnsi="Times New Roman" w:cs="Times New Roman"/>
            </w:rPr>
            <w:t>7.3 Projected Cash Flow</w:t>
          </w:r>
          <w:r>
            <w:tab/>
          </w:r>
          <w:r>
            <w:fldChar w:fldCharType="begin"/>
          </w:r>
          <w:r>
            <w:instrText xml:space="preserve"> PAGEREF _Toc65147165 \h </w:instrText>
          </w:r>
          <w:r>
            <w:fldChar w:fldCharType="separate"/>
          </w:r>
          <w:r>
            <w:t>24</w:t>
          </w:r>
          <w:r>
            <w:fldChar w:fldCharType="end"/>
          </w:r>
          <w:r>
            <w:fldChar w:fldCharType="end"/>
          </w:r>
        </w:p>
        <w:p>
          <w:pPr>
            <w:pStyle w:val="13"/>
            <w:tabs>
              <w:tab w:val="right" w:leader="dot" w:pos="9350"/>
            </w:tabs>
            <w:rPr>
              <w:rFonts w:eastAsiaTheme="minorEastAsia"/>
            </w:rPr>
          </w:pPr>
          <w:r>
            <w:fldChar w:fldCharType="begin"/>
          </w:r>
          <w:r>
            <w:instrText xml:space="preserve"> HYPERLINK \l "_Toc65147166" </w:instrText>
          </w:r>
          <w:r>
            <w:fldChar w:fldCharType="separate"/>
          </w:r>
          <w:r>
            <w:rPr>
              <w:rStyle w:val="10"/>
              <w:rFonts w:ascii="Times New Roman" w:hAnsi="Times New Roman" w:cs="Times New Roman"/>
            </w:rPr>
            <w:t>7.5 Break-even Point</w:t>
          </w:r>
          <w:r>
            <w:tab/>
          </w:r>
          <w:r>
            <w:fldChar w:fldCharType="begin"/>
          </w:r>
          <w:r>
            <w:instrText xml:space="preserve"> PAGEREF _Toc65147166 \h </w:instrText>
          </w:r>
          <w:r>
            <w:fldChar w:fldCharType="separate"/>
          </w:r>
          <w:r>
            <w:t>31</w:t>
          </w:r>
          <w:r>
            <w:fldChar w:fldCharType="end"/>
          </w:r>
          <w:r>
            <w:fldChar w:fldCharType="end"/>
          </w:r>
        </w:p>
        <w:p>
          <w:pPr>
            <w:pStyle w:val="13"/>
            <w:tabs>
              <w:tab w:val="right" w:leader="dot" w:pos="9350"/>
            </w:tabs>
            <w:rPr>
              <w:rFonts w:eastAsiaTheme="minorEastAsia"/>
            </w:rPr>
          </w:pPr>
          <w:r>
            <w:fldChar w:fldCharType="begin"/>
          </w:r>
          <w:r>
            <w:instrText xml:space="preserve"> HYPERLINK \l "_Toc65147167" </w:instrText>
          </w:r>
          <w:r>
            <w:fldChar w:fldCharType="separate"/>
          </w:r>
          <w:r>
            <w:rPr>
              <w:rStyle w:val="10"/>
              <w:rFonts w:ascii="Times New Roman" w:hAnsi="Times New Roman" w:cs="Times New Roman"/>
            </w:rPr>
            <w:t>7.6 Ratios</w:t>
          </w:r>
          <w:r>
            <w:tab/>
          </w:r>
          <w:r>
            <w:fldChar w:fldCharType="begin"/>
          </w:r>
          <w:r>
            <w:instrText xml:space="preserve"> PAGEREF _Toc65147167 \h </w:instrText>
          </w:r>
          <w:r>
            <w:fldChar w:fldCharType="separate"/>
          </w:r>
          <w:r>
            <w:t>31</w:t>
          </w:r>
          <w:r>
            <w:fldChar w:fldCharType="end"/>
          </w:r>
          <w:r>
            <w:fldChar w:fldCharType="end"/>
          </w:r>
        </w:p>
        <w:p>
          <w:pPr>
            <w:pStyle w:val="12"/>
            <w:tabs>
              <w:tab w:val="right" w:leader="dot" w:pos="9350"/>
            </w:tabs>
            <w:rPr>
              <w:rFonts w:eastAsiaTheme="minorEastAsia"/>
            </w:rPr>
          </w:pPr>
          <w:r>
            <w:fldChar w:fldCharType="begin"/>
          </w:r>
          <w:r>
            <w:instrText xml:space="preserve"> HYPERLINK \l "_Toc65147168" </w:instrText>
          </w:r>
          <w:r>
            <w:fldChar w:fldCharType="separate"/>
          </w:r>
          <w:r>
            <w:rPr>
              <w:rStyle w:val="10"/>
              <w:rFonts w:ascii="Times New Roman" w:hAnsi="Times New Roman" w:cs="Times New Roman"/>
            </w:rPr>
            <w:t>Appendices</w:t>
          </w:r>
          <w:r>
            <w:tab/>
          </w:r>
          <w:r>
            <w:fldChar w:fldCharType="begin"/>
          </w:r>
          <w:r>
            <w:instrText xml:space="preserve"> PAGEREF _Toc65147168 \h </w:instrText>
          </w:r>
          <w:r>
            <w:fldChar w:fldCharType="separate"/>
          </w:r>
          <w:r>
            <w:t>33</w:t>
          </w:r>
          <w:r>
            <w:fldChar w:fldCharType="end"/>
          </w:r>
          <w:r>
            <w:fldChar w:fldCharType="end"/>
          </w:r>
        </w:p>
        <w:p>
          <w:pPr>
            <w:spacing w:line="480" w:lineRule="auto"/>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fldChar w:fldCharType="end"/>
          </w:r>
        </w:p>
      </w:sdtContent>
    </w:sdt>
    <w:p>
      <w:pPr>
        <w:rPr>
          <w:rFonts w:ascii="Times New Roman" w:hAnsi="Times New Roman" w:cs="Times New Roman" w:eastAsiaTheme="majorEastAsia"/>
          <w:b/>
          <w:bCs/>
          <w:color w:val="000000" w:themeColor="text1"/>
          <w:sz w:val="24"/>
          <w:szCs w:val="24"/>
        </w:rPr>
      </w:pPr>
      <w:r>
        <w:rPr>
          <w:rFonts w:ascii="Times New Roman" w:hAnsi="Times New Roman" w:cs="Times New Roman"/>
          <w:color w:val="000000" w:themeColor="text1"/>
          <w:sz w:val="24"/>
          <w:szCs w:val="24"/>
        </w:rPr>
        <w:br w:type="page"/>
      </w:r>
    </w:p>
    <w:p>
      <w:pPr>
        <w:pStyle w:val="2"/>
        <w:spacing w:before="0" w:line="480" w:lineRule="auto"/>
        <w:jc w:val="both"/>
        <w:rPr>
          <w:rFonts w:ascii="Times New Roman" w:hAnsi="Times New Roman" w:cs="Times New Roman"/>
          <w:color w:val="000000" w:themeColor="text1"/>
          <w:sz w:val="24"/>
          <w:szCs w:val="24"/>
        </w:rPr>
      </w:pPr>
      <w:bookmarkStart w:id="0" w:name="_Toc65147130"/>
      <w:r>
        <w:rPr>
          <w:rFonts w:ascii="Times New Roman" w:hAnsi="Times New Roman" w:cs="Times New Roman"/>
          <w:color w:val="000000" w:themeColor="text1"/>
          <w:sz w:val="24"/>
          <w:szCs w:val="24"/>
        </w:rPr>
        <w:t>1.0 Executive Summary</w:t>
      </w:r>
      <w:bookmarkEnd w:id="0"/>
    </w:p>
    <w:p>
      <w:p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 xml:space="preserve">Carnival Row Tech Consulting Limited is a technology-based consulting company specialised in various kinds of services like digital marketing, cloud, consultancy for projects, research, report preparation and consultancy to retailer businesses primarily in the markets of the US and Latin America. The founder of the company Mr. John is expert in the field of consulting and thus the company will offer quality services to its clients at reasonable rates. The company will be established in Silicon Valley to operate in the said markets and the growth opportunities will be ample, however, the competition (McKinsey, Deloitte and EY) is high but the company will encounter that through expertise and diversification. The total start-up costs for the company will be $100,000 (including $78,000 for fixed assets and $22,000 for other expenses). The costs will be sourced from equity and debt in equal proportion. Based on several assumptions and sales forecasts, the financial performance of the company will be sound in the upcoming future as the profits will continue to grow and so does the cash position. The net profit at the end of the third year will be $117,946.21, while the cash position will be $265,811.70; both indicating no issues of cash and profitability. </w:t>
      </w:r>
    </w:p>
    <w:p>
      <w:pPr>
        <w:pStyle w:val="3"/>
        <w:spacing w:before="0" w:line="480" w:lineRule="auto"/>
        <w:jc w:val="both"/>
        <w:rPr>
          <w:rFonts w:ascii="Times New Roman" w:hAnsi="Times New Roman" w:cs="Times New Roman"/>
          <w:color w:val="000000" w:themeColor="text1"/>
          <w:sz w:val="24"/>
          <w:szCs w:val="24"/>
        </w:rPr>
      </w:pPr>
      <w:bookmarkStart w:id="1" w:name="_Toc65147131"/>
      <w:r>
        <w:rPr>
          <w:rFonts w:ascii="Times New Roman" w:hAnsi="Times New Roman" w:cs="Times New Roman"/>
          <w:color w:val="000000" w:themeColor="text1"/>
          <w:sz w:val="24"/>
          <w:szCs w:val="24"/>
        </w:rPr>
        <w:t>1.1 Objectives</w:t>
      </w:r>
      <w:bookmarkEnd w:id="1"/>
    </w:p>
    <w:p>
      <w:pPr>
        <w:pStyle w:val="21"/>
        <w:numPr>
          <w:ilvl w:val="0"/>
          <w:numId w:val="1"/>
        </w:num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Sales should be at least $500,000 in the first year and should become more than $600,000 by 2022.</w:t>
      </w:r>
    </w:p>
    <w:p>
      <w:pPr>
        <w:pStyle w:val="21"/>
        <w:numPr>
          <w:ilvl w:val="0"/>
          <w:numId w:val="1"/>
        </w:num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gross profit margin should remain higher than 60% constantly. </w:t>
      </w:r>
    </w:p>
    <w:p>
      <w:pPr>
        <w:pStyle w:val="21"/>
        <w:numPr>
          <w:ilvl w:val="0"/>
          <w:numId w:val="1"/>
        </w:num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net profit margin should be higher than 10%.</w:t>
      </w:r>
    </w:p>
    <w:p>
      <w:pPr>
        <w:pStyle w:val="3"/>
        <w:spacing w:before="0" w:line="480" w:lineRule="auto"/>
        <w:jc w:val="both"/>
        <w:rPr>
          <w:rFonts w:ascii="Times New Roman" w:hAnsi="Times New Roman" w:cs="Times New Roman"/>
          <w:color w:val="000000" w:themeColor="text1"/>
          <w:sz w:val="24"/>
          <w:szCs w:val="24"/>
        </w:rPr>
      </w:pPr>
      <w:bookmarkStart w:id="2" w:name="_Toc65147132"/>
      <w:r>
        <w:rPr>
          <w:rFonts w:ascii="Times New Roman" w:hAnsi="Times New Roman" w:cs="Times New Roman"/>
          <w:color w:val="000000" w:themeColor="text1"/>
          <w:sz w:val="24"/>
          <w:szCs w:val="24"/>
        </w:rPr>
        <w:t>1.2 Mission</w:t>
      </w:r>
      <w:bookmarkEnd w:id="2"/>
    </w:p>
    <w:p>
      <w:p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 xml:space="preserve">The company should continue to rely upon quality services at affordable prices for its customers in the market for sustainable development through proper marketing and diversification in services upgraded with the latest technology. The key mission of the company is to expand and cover the whole area of the US and Latin America. </w:t>
      </w:r>
    </w:p>
    <w:p>
      <w:pPr>
        <w:pStyle w:val="3"/>
        <w:spacing w:before="0" w:line="480" w:lineRule="auto"/>
        <w:jc w:val="both"/>
        <w:rPr>
          <w:rFonts w:ascii="Times New Roman" w:hAnsi="Times New Roman" w:cs="Times New Roman"/>
          <w:color w:val="000000" w:themeColor="text1"/>
          <w:sz w:val="24"/>
          <w:szCs w:val="24"/>
        </w:rPr>
      </w:pPr>
      <w:bookmarkStart w:id="3" w:name="_Toc65147133"/>
      <w:r>
        <w:rPr>
          <w:rFonts w:ascii="Times New Roman" w:hAnsi="Times New Roman" w:cs="Times New Roman"/>
          <w:color w:val="000000" w:themeColor="text1"/>
          <w:sz w:val="24"/>
          <w:szCs w:val="24"/>
        </w:rPr>
        <w:t>1.3 Keys to Success</w:t>
      </w:r>
      <w:bookmarkEnd w:id="3"/>
    </w:p>
    <w:p>
      <w:pPr>
        <w:pStyle w:val="21"/>
        <w:numPr>
          <w:ilvl w:val="0"/>
          <w:numId w:val="2"/>
        </w:num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Excellent quality services with diversified range.</w:t>
      </w:r>
    </w:p>
    <w:p>
      <w:pPr>
        <w:pStyle w:val="21"/>
        <w:numPr>
          <w:ilvl w:val="0"/>
          <w:numId w:val="2"/>
        </w:num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Nominal prices.</w:t>
      </w:r>
    </w:p>
    <w:p>
      <w:pPr>
        <w:pStyle w:val="21"/>
        <w:numPr>
          <w:ilvl w:val="0"/>
          <w:numId w:val="2"/>
        </w:num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Superior expertise and experience in the field.</w:t>
      </w:r>
    </w:p>
    <w:p>
      <w:pPr>
        <w:pStyle w:val="2"/>
        <w:spacing w:before="0" w:line="480" w:lineRule="auto"/>
        <w:rPr>
          <w:rFonts w:ascii="Times New Roman" w:hAnsi="Times New Roman" w:cs="Times New Roman"/>
          <w:color w:val="000000" w:themeColor="text1"/>
          <w:sz w:val="24"/>
          <w:szCs w:val="24"/>
        </w:rPr>
      </w:pPr>
      <w:bookmarkStart w:id="4" w:name="_Toc65147134"/>
      <w:r>
        <w:rPr>
          <w:rFonts w:ascii="Times New Roman" w:hAnsi="Times New Roman" w:cs="Times New Roman"/>
          <w:color w:val="000000" w:themeColor="text1"/>
          <w:sz w:val="24"/>
          <w:szCs w:val="24"/>
        </w:rPr>
        <w:t>2.0 Company Summary</w:t>
      </w:r>
      <w:bookmarkEnd w:id="4"/>
    </w:p>
    <w:p>
      <w:pPr>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Carnival Row Tech Consulting Limited is a start-up that is aimed to provide high tech solutions and to consult companies in order to improve their current business practices. The company provides services of software development, mobile application development and project management consulting as per the requirements of the client. The services provided by the company contributes to improving the profitability and productivity of a company in the competitive business market. In the initial phase of the business, the company will focus on the following services.</w:t>
      </w:r>
    </w:p>
    <w:p>
      <w:pPr>
        <w:pStyle w:val="21"/>
        <w:numPr>
          <w:ilvl w:val="0"/>
          <w:numId w:val="3"/>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main services provided by the company include consulting to the retail businesses, research, project consulting and preparation of the reports and other types of consulting services.</w:t>
      </w:r>
    </w:p>
    <w:p>
      <w:pPr>
        <w:pStyle w:val="21"/>
        <w:numPr>
          <w:ilvl w:val="0"/>
          <w:numId w:val="3"/>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It is providing international clients with consulting regarding the condition of the market and the up gradation of technology in order to improve the business process. The company also provides software solutions developed as per the specialised requirements of the client. </w:t>
      </w:r>
    </w:p>
    <w:p>
      <w:pPr>
        <w:pStyle w:val="21"/>
        <w:numPr>
          <w:ilvl w:val="0"/>
          <w:numId w:val="3"/>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company also provides consultation regarding the management of the digital marketing campaign in order to create brand loyalty.</w:t>
      </w:r>
    </w:p>
    <w:p>
      <w:pPr>
        <w:pStyle w:val="21"/>
        <w:numPr>
          <w:ilvl w:val="0"/>
          <w:numId w:val="3"/>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services will also include up-gradation of the technology and the estimation of the resources and finance required to upgrade technology.</w:t>
      </w:r>
    </w:p>
    <w:p>
      <w:pPr>
        <w:pStyle w:val="21"/>
        <w:numPr>
          <w:ilvl w:val="0"/>
          <w:numId w:val="3"/>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services will also include the efforts of the company in improving the condition of the existing companies that working only offline and make all the arrangements of the online presence such as the development of mobile application and website of the company.</w:t>
      </w:r>
    </w:p>
    <w:p>
      <w:pPr>
        <w:pStyle w:val="21"/>
        <w:numPr>
          <w:ilvl w:val="0"/>
          <w:numId w:val="3"/>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services of providing a secure gateway and e-commerce solutions to the clients are also provided by the company. </w:t>
      </w:r>
    </w:p>
    <w:p>
      <w:pPr>
        <w:pStyle w:val="21"/>
        <w:numPr>
          <w:ilvl w:val="0"/>
          <w:numId w:val="3"/>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financial services and the banking solutions are also provided by the company as per the requirements of the client.</w:t>
      </w:r>
    </w:p>
    <w:p>
      <w:pPr>
        <w:pStyle w:val="21"/>
        <w:numPr>
          <w:ilvl w:val="0"/>
          <w:numId w:val="3"/>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services of cloud data management are also provided by the company to its clients that include the management of the cloud server and the migration of client data to the cloud server.</w:t>
      </w:r>
    </w:p>
    <w:p>
      <w:pPr>
        <w:pStyle w:val="3"/>
        <w:spacing w:line="480" w:lineRule="auto"/>
        <w:rPr>
          <w:rFonts w:ascii="Times New Roman" w:hAnsi="Times New Roman" w:cs="Times New Roman"/>
          <w:color w:val="000000" w:themeColor="text1"/>
          <w:sz w:val="24"/>
          <w:szCs w:val="24"/>
        </w:rPr>
      </w:pPr>
      <w:bookmarkStart w:id="5" w:name="_Toc65147135"/>
      <w:r>
        <w:rPr>
          <w:rFonts w:ascii="Times New Roman" w:hAnsi="Times New Roman" w:cs="Times New Roman"/>
          <w:color w:val="000000" w:themeColor="text1"/>
          <w:sz w:val="24"/>
          <w:szCs w:val="24"/>
        </w:rPr>
        <w:t>2.1 Company Ownership</w:t>
      </w:r>
      <w:bookmarkEnd w:id="5"/>
    </w:p>
    <w:p>
      <w:pPr>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Carnival Row Tech Consulting Limited is a technology and consulting company that is created and managed by an entrepreneur who has experienced in the same field. The whole ownership of the company is bear by Mr John that is an entrepreneur and have a similar type of consulting businesses. MR. John is an MBA from the Massachusetts Institute of Technology (MIT). He has experience of more than five years in the field of consultation and technology management. Moreover, he also owns one tech firm in Silicon Valley. </w:t>
      </w:r>
    </w:p>
    <w:p>
      <w:pPr>
        <w:pStyle w:val="3"/>
        <w:spacing w:before="0" w:line="480" w:lineRule="auto"/>
        <w:rPr>
          <w:rFonts w:ascii="Times New Roman" w:hAnsi="Times New Roman" w:cs="Times New Roman"/>
          <w:color w:val="000000" w:themeColor="text1"/>
          <w:sz w:val="24"/>
          <w:szCs w:val="24"/>
        </w:rPr>
      </w:pPr>
      <w:bookmarkStart w:id="6" w:name="_Toc65147136"/>
      <w:r>
        <w:rPr>
          <w:rFonts w:ascii="Times New Roman" w:hAnsi="Times New Roman" w:cs="Times New Roman"/>
          <w:color w:val="000000" w:themeColor="text1"/>
          <w:sz w:val="24"/>
          <w:szCs w:val="24"/>
        </w:rPr>
        <w:t>2.2 Start-up and Sources of Funds</w:t>
      </w:r>
      <w:bookmarkEnd w:id="6"/>
    </w:p>
    <w:p>
      <w:p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The total start-up expenses will be $22000, which includes legal fees, marketing expenses, lease payments, insurance, trademark, registration fees, stationery, software development charges, internet expenses and other miscellaneous expenses. Additionally, the total start-up assets cost will be $78000, which includes furniture and fittings, computer and appliances, equipment, light fitting and air conditioning. The company will acquire funding from external sources like debt and equity. The details are reflected in the below-mentioned table.</w:t>
      </w:r>
    </w:p>
    <w:p>
      <w:p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Start-up cost</w:t>
      </w:r>
    </w:p>
    <w:tbl>
      <w:tblPr>
        <w:tblStyle w:val="6"/>
        <w:tblW w:w="5000" w:type="pct"/>
        <w:tblInd w:w="0" w:type="dxa"/>
        <w:tblLayout w:type="autofit"/>
        <w:tblCellMar>
          <w:top w:w="0" w:type="dxa"/>
          <w:left w:w="108" w:type="dxa"/>
          <w:bottom w:w="0" w:type="dxa"/>
          <w:right w:w="108" w:type="dxa"/>
        </w:tblCellMar>
      </w:tblPr>
      <w:tblGrid>
        <w:gridCol w:w="6747"/>
        <w:gridCol w:w="2829"/>
      </w:tblGrid>
      <w:tr>
        <w:tblPrEx>
          <w:tblCellMar>
            <w:top w:w="0" w:type="dxa"/>
            <w:left w:w="108" w:type="dxa"/>
            <w:bottom w:w="0" w:type="dxa"/>
            <w:right w:w="108" w:type="dxa"/>
          </w:tblCellMar>
        </w:tblPrEx>
        <w:trPr>
          <w:trHeight w:val="288" w:hRule="atLeast"/>
        </w:trPr>
        <w:tc>
          <w:tcPr>
            <w:tcW w:w="5000" w:type="pct"/>
            <w:gridSpan w:val="2"/>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center"/>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 xml:space="preserve">Carnival Row Tech Consulting Limited </w:t>
            </w:r>
          </w:p>
        </w:tc>
      </w:tr>
      <w:tr>
        <w:tblPrEx>
          <w:tblCellMar>
            <w:top w:w="0" w:type="dxa"/>
            <w:left w:w="108" w:type="dxa"/>
            <w:bottom w:w="0" w:type="dxa"/>
            <w:right w:w="108" w:type="dxa"/>
          </w:tblCellMar>
        </w:tblPrEx>
        <w:trPr>
          <w:trHeight w:val="288" w:hRule="atLeast"/>
        </w:trPr>
        <w:tc>
          <w:tcPr>
            <w:tcW w:w="5000" w:type="pct"/>
            <w:gridSpan w:val="2"/>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center"/>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Start-up Cost</w:t>
            </w:r>
          </w:p>
        </w:tc>
      </w:tr>
      <w:tr>
        <w:tblPrEx>
          <w:tblCellMar>
            <w:top w:w="0" w:type="dxa"/>
            <w:left w:w="108" w:type="dxa"/>
            <w:bottom w:w="0" w:type="dxa"/>
            <w:right w:w="108" w:type="dxa"/>
          </w:tblCellMar>
        </w:tblPrEx>
        <w:trPr>
          <w:trHeight w:val="288" w:hRule="atLeast"/>
        </w:trPr>
        <w:tc>
          <w:tcPr>
            <w:tcW w:w="352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1476"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r>
      <w:tr>
        <w:tblPrEx>
          <w:tblCellMar>
            <w:top w:w="0" w:type="dxa"/>
            <w:left w:w="108" w:type="dxa"/>
            <w:bottom w:w="0" w:type="dxa"/>
            <w:right w:w="108" w:type="dxa"/>
          </w:tblCellMar>
        </w:tblPrEx>
        <w:trPr>
          <w:trHeight w:val="288" w:hRule="atLeast"/>
        </w:trPr>
        <w:tc>
          <w:tcPr>
            <w:tcW w:w="352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Particulars</w:t>
            </w:r>
          </w:p>
        </w:tc>
        <w:tc>
          <w:tcPr>
            <w:tcW w:w="1476"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Amount ($)</w:t>
            </w:r>
          </w:p>
        </w:tc>
      </w:tr>
      <w:tr>
        <w:tblPrEx>
          <w:tblCellMar>
            <w:top w:w="0" w:type="dxa"/>
            <w:left w:w="108" w:type="dxa"/>
            <w:bottom w:w="0" w:type="dxa"/>
            <w:right w:w="108" w:type="dxa"/>
          </w:tblCellMar>
        </w:tblPrEx>
        <w:trPr>
          <w:trHeight w:val="288" w:hRule="atLeast"/>
        </w:trPr>
        <w:tc>
          <w:tcPr>
            <w:tcW w:w="352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Expenses</w:t>
            </w:r>
          </w:p>
        </w:tc>
        <w:tc>
          <w:tcPr>
            <w:tcW w:w="1476"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r>
      <w:tr>
        <w:tblPrEx>
          <w:tblCellMar>
            <w:top w:w="0" w:type="dxa"/>
            <w:left w:w="108" w:type="dxa"/>
            <w:bottom w:w="0" w:type="dxa"/>
            <w:right w:w="108" w:type="dxa"/>
          </w:tblCellMar>
        </w:tblPrEx>
        <w:trPr>
          <w:trHeight w:val="288" w:hRule="atLeast"/>
        </w:trPr>
        <w:tc>
          <w:tcPr>
            <w:tcW w:w="352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Legal fees</w:t>
            </w:r>
          </w:p>
        </w:tc>
        <w:tc>
          <w:tcPr>
            <w:tcW w:w="1476"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800</w:t>
            </w:r>
          </w:p>
        </w:tc>
      </w:tr>
      <w:tr>
        <w:tblPrEx>
          <w:tblCellMar>
            <w:top w:w="0" w:type="dxa"/>
            <w:left w:w="108" w:type="dxa"/>
            <w:bottom w:w="0" w:type="dxa"/>
            <w:right w:w="108" w:type="dxa"/>
          </w:tblCellMar>
        </w:tblPrEx>
        <w:trPr>
          <w:trHeight w:val="288" w:hRule="atLeast"/>
        </w:trPr>
        <w:tc>
          <w:tcPr>
            <w:tcW w:w="352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Lease agreement fees</w:t>
            </w:r>
          </w:p>
        </w:tc>
        <w:tc>
          <w:tcPr>
            <w:tcW w:w="1476"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3000</w:t>
            </w:r>
          </w:p>
        </w:tc>
      </w:tr>
      <w:tr>
        <w:tblPrEx>
          <w:tblCellMar>
            <w:top w:w="0" w:type="dxa"/>
            <w:left w:w="108" w:type="dxa"/>
            <w:bottom w:w="0" w:type="dxa"/>
            <w:right w:w="108" w:type="dxa"/>
          </w:tblCellMar>
        </w:tblPrEx>
        <w:trPr>
          <w:trHeight w:val="288" w:hRule="atLeast"/>
        </w:trPr>
        <w:tc>
          <w:tcPr>
            <w:tcW w:w="352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Initial Marketing</w:t>
            </w:r>
          </w:p>
        </w:tc>
        <w:tc>
          <w:tcPr>
            <w:tcW w:w="1476"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6000</w:t>
            </w:r>
          </w:p>
        </w:tc>
      </w:tr>
      <w:tr>
        <w:tblPrEx>
          <w:tblCellMar>
            <w:top w:w="0" w:type="dxa"/>
            <w:left w:w="108" w:type="dxa"/>
            <w:bottom w:w="0" w:type="dxa"/>
            <w:right w:w="108" w:type="dxa"/>
          </w:tblCellMar>
        </w:tblPrEx>
        <w:trPr>
          <w:trHeight w:val="288" w:hRule="atLeast"/>
        </w:trPr>
        <w:tc>
          <w:tcPr>
            <w:tcW w:w="352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Insurance</w:t>
            </w:r>
          </w:p>
        </w:tc>
        <w:tc>
          <w:tcPr>
            <w:tcW w:w="1476"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300</w:t>
            </w:r>
          </w:p>
        </w:tc>
      </w:tr>
      <w:tr>
        <w:tblPrEx>
          <w:tblCellMar>
            <w:top w:w="0" w:type="dxa"/>
            <w:left w:w="108" w:type="dxa"/>
            <w:bottom w:w="0" w:type="dxa"/>
            <w:right w:w="108" w:type="dxa"/>
          </w:tblCellMar>
        </w:tblPrEx>
        <w:trPr>
          <w:trHeight w:val="288" w:hRule="atLeast"/>
        </w:trPr>
        <w:tc>
          <w:tcPr>
            <w:tcW w:w="352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Registration fees</w:t>
            </w:r>
          </w:p>
        </w:tc>
        <w:tc>
          <w:tcPr>
            <w:tcW w:w="1476"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1600</w:t>
            </w:r>
          </w:p>
        </w:tc>
      </w:tr>
      <w:tr>
        <w:tblPrEx>
          <w:tblCellMar>
            <w:top w:w="0" w:type="dxa"/>
            <w:left w:w="108" w:type="dxa"/>
            <w:bottom w:w="0" w:type="dxa"/>
            <w:right w:w="108" w:type="dxa"/>
          </w:tblCellMar>
        </w:tblPrEx>
        <w:trPr>
          <w:trHeight w:val="288" w:hRule="atLeast"/>
        </w:trPr>
        <w:tc>
          <w:tcPr>
            <w:tcW w:w="352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Trademark </w:t>
            </w:r>
          </w:p>
        </w:tc>
        <w:tc>
          <w:tcPr>
            <w:tcW w:w="1476"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300</w:t>
            </w:r>
          </w:p>
        </w:tc>
      </w:tr>
      <w:tr>
        <w:tblPrEx>
          <w:tblCellMar>
            <w:top w:w="0" w:type="dxa"/>
            <w:left w:w="108" w:type="dxa"/>
            <w:bottom w:w="0" w:type="dxa"/>
            <w:right w:w="108" w:type="dxa"/>
          </w:tblCellMar>
        </w:tblPrEx>
        <w:trPr>
          <w:trHeight w:val="288" w:hRule="atLeast"/>
        </w:trPr>
        <w:tc>
          <w:tcPr>
            <w:tcW w:w="352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Stationery</w:t>
            </w:r>
          </w:p>
        </w:tc>
        <w:tc>
          <w:tcPr>
            <w:tcW w:w="1476"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4000</w:t>
            </w:r>
          </w:p>
        </w:tc>
      </w:tr>
      <w:tr>
        <w:tblPrEx>
          <w:tblCellMar>
            <w:top w:w="0" w:type="dxa"/>
            <w:left w:w="108" w:type="dxa"/>
            <w:bottom w:w="0" w:type="dxa"/>
            <w:right w:w="108" w:type="dxa"/>
          </w:tblCellMar>
        </w:tblPrEx>
        <w:trPr>
          <w:trHeight w:val="288" w:hRule="atLeast"/>
        </w:trPr>
        <w:tc>
          <w:tcPr>
            <w:tcW w:w="352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Miscellaneous</w:t>
            </w:r>
          </w:p>
        </w:tc>
        <w:tc>
          <w:tcPr>
            <w:tcW w:w="1476"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1650</w:t>
            </w:r>
          </w:p>
        </w:tc>
      </w:tr>
      <w:tr>
        <w:tblPrEx>
          <w:tblCellMar>
            <w:top w:w="0" w:type="dxa"/>
            <w:left w:w="108" w:type="dxa"/>
            <w:bottom w:w="0" w:type="dxa"/>
            <w:right w:w="108" w:type="dxa"/>
          </w:tblCellMar>
        </w:tblPrEx>
        <w:trPr>
          <w:trHeight w:val="288" w:hRule="atLeast"/>
        </w:trPr>
        <w:tc>
          <w:tcPr>
            <w:tcW w:w="352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Accountant fees</w:t>
            </w:r>
          </w:p>
        </w:tc>
        <w:tc>
          <w:tcPr>
            <w:tcW w:w="1476"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2000</w:t>
            </w:r>
          </w:p>
        </w:tc>
      </w:tr>
      <w:tr>
        <w:tblPrEx>
          <w:tblCellMar>
            <w:top w:w="0" w:type="dxa"/>
            <w:left w:w="108" w:type="dxa"/>
            <w:bottom w:w="0" w:type="dxa"/>
            <w:right w:w="108" w:type="dxa"/>
          </w:tblCellMar>
        </w:tblPrEx>
        <w:trPr>
          <w:trHeight w:val="288" w:hRule="atLeast"/>
        </w:trPr>
        <w:tc>
          <w:tcPr>
            <w:tcW w:w="352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Software development charges</w:t>
            </w:r>
          </w:p>
        </w:tc>
        <w:tc>
          <w:tcPr>
            <w:tcW w:w="1476"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1500</w:t>
            </w:r>
          </w:p>
        </w:tc>
      </w:tr>
      <w:tr>
        <w:tblPrEx>
          <w:tblCellMar>
            <w:top w:w="0" w:type="dxa"/>
            <w:left w:w="108" w:type="dxa"/>
            <w:bottom w:w="0" w:type="dxa"/>
            <w:right w:w="108" w:type="dxa"/>
          </w:tblCellMar>
        </w:tblPrEx>
        <w:trPr>
          <w:trHeight w:val="288" w:hRule="atLeast"/>
        </w:trPr>
        <w:tc>
          <w:tcPr>
            <w:tcW w:w="352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Internet and other expenses</w:t>
            </w:r>
          </w:p>
        </w:tc>
        <w:tc>
          <w:tcPr>
            <w:tcW w:w="1476"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850</w:t>
            </w:r>
          </w:p>
        </w:tc>
      </w:tr>
      <w:tr>
        <w:tblPrEx>
          <w:tblCellMar>
            <w:top w:w="0" w:type="dxa"/>
            <w:left w:w="108" w:type="dxa"/>
            <w:bottom w:w="0" w:type="dxa"/>
            <w:right w:w="108" w:type="dxa"/>
          </w:tblCellMar>
        </w:tblPrEx>
        <w:trPr>
          <w:trHeight w:val="288" w:hRule="atLeast"/>
        </w:trPr>
        <w:tc>
          <w:tcPr>
            <w:tcW w:w="352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Total Expenses</w:t>
            </w:r>
          </w:p>
        </w:tc>
        <w:tc>
          <w:tcPr>
            <w:tcW w:w="1476"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22000</w:t>
            </w:r>
          </w:p>
        </w:tc>
      </w:tr>
      <w:tr>
        <w:tblPrEx>
          <w:tblCellMar>
            <w:top w:w="0" w:type="dxa"/>
            <w:left w:w="108" w:type="dxa"/>
            <w:bottom w:w="0" w:type="dxa"/>
            <w:right w:w="108" w:type="dxa"/>
          </w:tblCellMar>
        </w:tblPrEx>
        <w:trPr>
          <w:trHeight w:val="288" w:hRule="atLeast"/>
        </w:trPr>
        <w:tc>
          <w:tcPr>
            <w:tcW w:w="352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Assets</w:t>
            </w:r>
          </w:p>
        </w:tc>
        <w:tc>
          <w:tcPr>
            <w:tcW w:w="1476"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r>
      <w:tr>
        <w:tblPrEx>
          <w:tblCellMar>
            <w:top w:w="0" w:type="dxa"/>
            <w:left w:w="108" w:type="dxa"/>
            <w:bottom w:w="0" w:type="dxa"/>
            <w:right w:w="108" w:type="dxa"/>
          </w:tblCellMar>
        </w:tblPrEx>
        <w:trPr>
          <w:trHeight w:val="288" w:hRule="atLeast"/>
        </w:trPr>
        <w:tc>
          <w:tcPr>
            <w:tcW w:w="352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Furniture and fittings</w:t>
            </w:r>
          </w:p>
        </w:tc>
        <w:tc>
          <w:tcPr>
            <w:tcW w:w="1476"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28000</w:t>
            </w:r>
          </w:p>
        </w:tc>
      </w:tr>
      <w:tr>
        <w:tblPrEx>
          <w:tblCellMar>
            <w:top w:w="0" w:type="dxa"/>
            <w:left w:w="108" w:type="dxa"/>
            <w:bottom w:w="0" w:type="dxa"/>
            <w:right w:w="108" w:type="dxa"/>
          </w:tblCellMar>
        </w:tblPrEx>
        <w:trPr>
          <w:trHeight w:val="288" w:hRule="atLeast"/>
        </w:trPr>
        <w:tc>
          <w:tcPr>
            <w:tcW w:w="352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Computers and appliances</w:t>
            </w:r>
          </w:p>
        </w:tc>
        <w:tc>
          <w:tcPr>
            <w:tcW w:w="1476"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24000</w:t>
            </w:r>
          </w:p>
        </w:tc>
      </w:tr>
      <w:tr>
        <w:tblPrEx>
          <w:tblCellMar>
            <w:top w:w="0" w:type="dxa"/>
            <w:left w:w="108" w:type="dxa"/>
            <w:bottom w:w="0" w:type="dxa"/>
            <w:right w:w="108" w:type="dxa"/>
          </w:tblCellMar>
        </w:tblPrEx>
        <w:trPr>
          <w:trHeight w:val="288" w:hRule="atLeast"/>
        </w:trPr>
        <w:tc>
          <w:tcPr>
            <w:tcW w:w="352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Light fitting</w:t>
            </w:r>
          </w:p>
        </w:tc>
        <w:tc>
          <w:tcPr>
            <w:tcW w:w="1476"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3000</w:t>
            </w:r>
          </w:p>
        </w:tc>
      </w:tr>
      <w:tr>
        <w:tblPrEx>
          <w:tblCellMar>
            <w:top w:w="0" w:type="dxa"/>
            <w:left w:w="108" w:type="dxa"/>
            <w:bottom w:w="0" w:type="dxa"/>
            <w:right w:w="108" w:type="dxa"/>
          </w:tblCellMar>
        </w:tblPrEx>
        <w:trPr>
          <w:trHeight w:val="288" w:hRule="atLeast"/>
        </w:trPr>
        <w:tc>
          <w:tcPr>
            <w:tcW w:w="352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Equipment</w:t>
            </w:r>
          </w:p>
        </w:tc>
        <w:tc>
          <w:tcPr>
            <w:tcW w:w="1476"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5000</w:t>
            </w:r>
          </w:p>
        </w:tc>
      </w:tr>
      <w:tr>
        <w:tblPrEx>
          <w:tblCellMar>
            <w:top w:w="0" w:type="dxa"/>
            <w:left w:w="108" w:type="dxa"/>
            <w:bottom w:w="0" w:type="dxa"/>
            <w:right w:w="108" w:type="dxa"/>
          </w:tblCellMar>
        </w:tblPrEx>
        <w:trPr>
          <w:trHeight w:val="288" w:hRule="atLeast"/>
        </w:trPr>
        <w:tc>
          <w:tcPr>
            <w:tcW w:w="352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Air conditioning</w:t>
            </w:r>
          </w:p>
        </w:tc>
        <w:tc>
          <w:tcPr>
            <w:tcW w:w="1476"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18000</w:t>
            </w:r>
          </w:p>
        </w:tc>
      </w:tr>
      <w:tr>
        <w:tblPrEx>
          <w:tblCellMar>
            <w:top w:w="0" w:type="dxa"/>
            <w:left w:w="108" w:type="dxa"/>
            <w:bottom w:w="0" w:type="dxa"/>
            <w:right w:w="108" w:type="dxa"/>
          </w:tblCellMar>
        </w:tblPrEx>
        <w:trPr>
          <w:trHeight w:val="288" w:hRule="atLeast"/>
        </w:trPr>
        <w:tc>
          <w:tcPr>
            <w:tcW w:w="352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Total Assets</w:t>
            </w:r>
          </w:p>
        </w:tc>
        <w:tc>
          <w:tcPr>
            <w:tcW w:w="1476"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78000</w:t>
            </w:r>
          </w:p>
        </w:tc>
      </w:tr>
      <w:tr>
        <w:tblPrEx>
          <w:tblCellMar>
            <w:top w:w="0" w:type="dxa"/>
            <w:left w:w="108" w:type="dxa"/>
            <w:bottom w:w="0" w:type="dxa"/>
            <w:right w:w="108" w:type="dxa"/>
          </w:tblCellMar>
        </w:tblPrEx>
        <w:trPr>
          <w:trHeight w:val="288" w:hRule="atLeast"/>
        </w:trPr>
        <w:tc>
          <w:tcPr>
            <w:tcW w:w="352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Total Start-up cost</w:t>
            </w:r>
          </w:p>
        </w:tc>
        <w:tc>
          <w:tcPr>
            <w:tcW w:w="1476"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100000</w:t>
            </w:r>
          </w:p>
        </w:tc>
      </w:tr>
    </w:tbl>
    <w:p>
      <w:pPr>
        <w:spacing w:after="0"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drawing>
          <wp:inline distT="0" distB="0" distL="114300" distR="114300">
            <wp:extent cx="4414520" cy="1909445"/>
            <wp:effectExtent l="19050" t="0" r="24055" b="0"/>
            <wp:docPr id="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p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Sources of Funds</w:t>
      </w:r>
    </w:p>
    <w:tbl>
      <w:tblPr>
        <w:tblStyle w:val="6"/>
        <w:tblW w:w="5000" w:type="pct"/>
        <w:tblInd w:w="0" w:type="dxa"/>
        <w:tblLayout w:type="autofit"/>
        <w:tblCellMar>
          <w:top w:w="0" w:type="dxa"/>
          <w:left w:w="108" w:type="dxa"/>
          <w:bottom w:w="0" w:type="dxa"/>
          <w:right w:w="108" w:type="dxa"/>
        </w:tblCellMar>
      </w:tblPr>
      <w:tblGrid>
        <w:gridCol w:w="4731"/>
        <w:gridCol w:w="4845"/>
      </w:tblGrid>
      <w:tr>
        <w:tblPrEx>
          <w:tblCellMar>
            <w:top w:w="0" w:type="dxa"/>
            <w:left w:w="108" w:type="dxa"/>
            <w:bottom w:w="0" w:type="dxa"/>
            <w:right w:w="108" w:type="dxa"/>
          </w:tblCellMar>
        </w:tblPrEx>
        <w:trPr>
          <w:trHeight w:val="288" w:hRule="atLeast"/>
        </w:trPr>
        <w:tc>
          <w:tcPr>
            <w:tcW w:w="5000" w:type="pct"/>
            <w:gridSpan w:val="2"/>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center"/>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Carnival Row Tech Consulting Limited</w:t>
            </w:r>
          </w:p>
        </w:tc>
      </w:tr>
      <w:tr>
        <w:tblPrEx>
          <w:tblCellMar>
            <w:top w:w="0" w:type="dxa"/>
            <w:left w:w="108" w:type="dxa"/>
            <w:bottom w:w="0" w:type="dxa"/>
            <w:right w:w="108" w:type="dxa"/>
          </w:tblCellMar>
        </w:tblPrEx>
        <w:trPr>
          <w:trHeight w:val="288" w:hRule="atLeast"/>
        </w:trPr>
        <w:tc>
          <w:tcPr>
            <w:tcW w:w="5000" w:type="pct"/>
            <w:gridSpan w:val="2"/>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center"/>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 xml:space="preserve">Sources of Funds </w:t>
            </w:r>
          </w:p>
        </w:tc>
      </w:tr>
      <w:tr>
        <w:tblPrEx>
          <w:tblCellMar>
            <w:top w:w="0" w:type="dxa"/>
            <w:left w:w="108" w:type="dxa"/>
            <w:bottom w:w="0" w:type="dxa"/>
            <w:right w:w="108" w:type="dxa"/>
          </w:tblCellMar>
        </w:tblPrEx>
        <w:trPr>
          <w:trHeight w:val="288" w:hRule="atLeast"/>
        </w:trPr>
        <w:tc>
          <w:tcPr>
            <w:tcW w:w="247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52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r>
      <w:tr>
        <w:tblPrEx>
          <w:tblCellMar>
            <w:top w:w="0" w:type="dxa"/>
            <w:left w:w="108" w:type="dxa"/>
            <w:bottom w:w="0" w:type="dxa"/>
            <w:right w:w="108" w:type="dxa"/>
          </w:tblCellMar>
        </w:tblPrEx>
        <w:trPr>
          <w:trHeight w:val="288" w:hRule="atLeast"/>
        </w:trPr>
        <w:tc>
          <w:tcPr>
            <w:tcW w:w="247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Particulars</w:t>
            </w:r>
          </w:p>
        </w:tc>
        <w:tc>
          <w:tcPr>
            <w:tcW w:w="252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Amount ($)</w:t>
            </w:r>
          </w:p>
        </w:tc>
      </w:tr>
      <w:tr>
        <w:tblPrEx>
          <w:tblCellMar>
            <w:top w:w="0" w:type="dxa"/>
            <w:left w:w="108" w:type="dxa"/>
            <w:bottom w:w="0" w:type="dxa"/>
            <w:right w:w="108" w:type="dxa"/>
          </w:tblCellMar>
        </w:tblPrEx>
        <w:trPr>
          <w:trHeight w:val="288" w:hRule="atLeast"/>
        </w:trPr>
        <w:tc>
          <w:tcPr>
            <w:tcW w:w="247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52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r>
      <w:tr>
        <w:tblPrEx>
          <w:tblCellMar>
            <w:top w:w="0" w:type="dxa"/>
            <w:left w:w="108" w:type="dxa"/>
            <w:bottom w:w="0" w:type="dxa"/>
            <w:right w:w="108" w:type="dxa"/>
          </w:tblCellMar>
        </w:tblPrEx>
        <w:trPr>
          <w:trHeight w:val="288" w:hRule="atLeast"/>
        </w:trPr>
        <w:tc>
          <w:tcPr>
            <w:tcW w:w="247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Equity</w:t>
            </w:r>
          </w:p>
        </w:tc>
        <w:tc>
          <w:tcPr>
            <w:tcW w:w="252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50000</w:t>
            </w:r>
          </w:p>
        </w:tc>
      </w:tr>
      <w:tr>
        <w:tblPrEx>
          <w:tblCellMar>
            <w:top w:w="0" w:type="dxa"/>
            <w:left w:w="108" w:type="dxa"/>
            <w:bottom w:w="0" w:type="dxa"/>
            <w:right w:w="108" w:type="dxa"/>
          </w:tblCellMar>
        </w:tblPrEx>
        <w:trPr>
          <w:trHeight w:val="288" w:hRule="atLeast"/>
        </w:trPr>
        <w:tc>
          <w:tcPr>
            <w:tcW w:w="247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Debt</w:t>
            </w:r>
          </w:p>
        </w:tc>
        <w:tc>
          <w:tcPr>
            <w:tcW w:w="252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50000</w:t>
            </w:r>
          </w:p>
        </w:tc>
      </w:tr>
      <w:tr>
        <w:tblPrEx>
          <w:tblCellMar>
            <w:top w:w="0" w:type="dxa"/>
            <w:left w:w="108" w:type="dxa"/>
            <w:bottom w:w="0" w:type="dxa"/>
            <w:right w:w="108" w:type="dxa"/>
          </w:tblCellMar>
        </w:tblPrEx>
        <w:trPr>
          <w:trHeight w:val="288" w:hRule="atLeast"/>
        </w:trPr>
        <w:tc>
          <w:tcPr>
            <w:tcW w:w="247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52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r>
      <w:tr>
        <w:tblPrEx>
          <w:tblCellMar>
            <w:top w:w="0" w:type="dxa"/>
            <w:left w:w="108" w:type="dxa"/>
            <w:bottom w:w="0" w:type="dxa"/>
            <w:right w:w="108" w:type="dxa"/>
          </w:tblCellMar>
        </w:tblPrEx>
        <w:trPr>
          <w:trHeight w:val="288" w:hRule="atLeast"/>
        </w:trPr>
        <w:tc>
          <w:tcPr>
            <w:tcW w:w="247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Total</w:t>
            </w:r>
          </w:p>
        </w:tc>
        <w:tc>
          <w:tcPr>
            <w:tcW w:w="252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100000</w:t>
            </w:r>
          </w:p>
        </w:tc>
      </w:tr>
    </w:tbl>
    <w:p>
      <w:pPr>
        <w:spacing w:after="0" w:line="480" w:lineRule="auto"/>
        <w:rPr>
          <w:rFonts w:ascii="Times New Roman" w:hAnsi="Times New Roman" w:cs="Times New Roman"/>
          <w:color w:val="000000" w:themeColor="text1"/>
          <w:sz w:val="24"/>
          <w:szCs w:val="24"/>
        </w:rPr>
      </w:pPr>
    </w:p>
    <w:p>
      <w:pPr>
        <w:spacing w:after="0"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drawing>
          <wp:inline distT="0" distB="0" distL="114300" distR="114300">
            <wp:extent cx="4698365" cy="2463800"/>
            <wp:effectExtent l="4445" t="4445" r="6350" b="15875"/>
            <wp:docPr id="4"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pPr>
        <w:pStyle w:val="3"/>
        <w:spacing w:line="480" w:lineRule="auto"/>
        <w:rPr>
          <w:rFonts w:ascii="Times New Roman" w:hAnsi="Times New Roman" w:cs="Times New Roman"/>
          <w:color w:val="000000" w:themeColor="text1"/>
          <w:sz w:val="24"/>
          <w:szCs w:val="24"/>
        </w:rPr>
      </w:pPr>
      <w:bookmarkStart w:id="7" w:name="_Toc65147137"/>
      <w:r>
        <w:rPr>
          <w:rFonts w:ascii="Times New Roman" w:hAnsi="Times New Roman" w:cs="Times New Roman"/>
          <w:color w:val="000000" w:themeColor="text1"/>
          <w:sz w:val="24"/>
          <w:szCs w:val="24"/>
        </w:rPr>
        <w:t>2.3 Company Location and Facilities</w:t>
      </w:r>
      <w:bookmarkEnd w:id="7"/>
    </w:p>
    <w:p>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drawing>
          <wp:inline distT="0" distB="0" distL="114300" distR="114300">
            <wp:extent cx="5191760" cy="201168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191760" cy="2011680"/>
                    </a:xfrm>
                    <a:prstGeom prst="rect">
                      <a:avLst/>
                    </a:prstGeom>
                    <a:noFill/>
                    <a:ln>
                      <a:noFill/>
                    </a:ln>
                  </pic:spPr>
                </pic:pic>
              </a:graphicData>
            </a:graphic>
          </wp:inline>
        </w:drawing>
      </w:r>
    </w:p>
    <w:p>
      <w:pPr>
        <w:spacing w:after="0"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office of the company will be situated in the prominent area of “Silicon Valley” in California in order to get high-quality facilities such as connectivity and power. The office will be located in the Newark area of Silicon Valley that has access to all type of technical resource required by the company. </w:t>
      </w:r>
    </w:p>
    <w:p>
      <w:pPr>
        <w:pStyle w:val="2"/>
        <w:spacing w:before="0" w:line="480" w:lineRule="auto"/>
        <w:rPr>
          <w:rFonts w:ascii="Times New Roman" w:hAnsi="Times New Roman" w:cs="Times New Roman"/>
          <w:color w:val="000000" w:themeColor="text1"/>
          <w:sz w:val="24"/>
          <w:szCs w:val="24"/>
        </w:rPr>
      </w:pPr>
      <w:bookmarkStart w:id="8" w:name="_Toc65147138"/>
      <w:r>
        <w:rPr>
          <w:rFonts w:ascii="Times New Roman" w:hAnsi="Times New Roman" w:cs="Times New Roman"/>
          <w:color w:val="000000" w:themeColor="text1"/>
          <w:sz w:val="24"/>
          <w:szCs w:val="24"/>
        </w:rPr>
        <w:t>3.0 Services</w:t>
      </w:r>
      <w:bookmarkEnd w:id="8"/>
    </w:p>
    <w:p>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Carnival Row Tech Consulting Limited will provide the services of consultation and technical solutions to the clients that are an existing business. The company will operate five days a week and remain closed for Saturday and Sunday, along with the national holidays. The services of the company include a consultation to the retail businesses, market research, project consulting and preparation of the reports, along with providing other types of consulting services. In addition to this, the services of the company also include technical consultation and technical resource upgrading services that include the up-gradation of the current software and cloud usage. The company will also provide tailored software and applications on the basis of the customers’ demand. The company also consult the clients regarding the management of social media campaigns and the creation of a brand image to the customers. </w:t>
      </w:r>
    </w:p>
    <w:p>
      <w:pPr>
        <w:pStyle w:val="3"/>
        <w:spacing w:line="480" w:lineRule="auto"/>
        <w:rPr>
          <w:rFonts w:ascii="Times New Roman" w:hAnsi="Times New Roman" w:cs="Times New Roman"/>
          <w:color w:val="000000" w:themeColor="text1"/>
          <w:sz w:val="24"/>
          <w:szCs w:val="24"/>
        </w:rPr>
      </w:pPr>
      <w:bookmarkStart w:id="9" w:name="_Toc65147139"/>
      <w:r>
        <w:rPr>
          <w:rFonts w:ascii="Times New Roman" w:hAnsi="Times New Roman" w:cs="Times New Roman"/>
          <w:color w:val="000000" w:themeColor="text1"/>
          <w:sz w:val="24"/>
          <w:szCs w:val="24"/>
        </w:rPr>
        <w:t>3.1 Service Description</w:t>
      </w:r>
      <w:bookmarkEnd w:id="9"/>
    </w:p>
    <w:p>
      <w:pPr>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description of the services is provided as follow: </w:t>
      </w:r>
    </w:p>
    <w:p>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 Consulting Services: The company will provide services in order to improve the market condition of clients with the help of consultation with the help of experts in the field. It will provide consultation to the retail businesses with the help of market research, project consulting and preparation of the market report along with the other types of consultation services. The company will provide a special package and strategies for improving the business in the post-COVID-19 era. The consultation services will also include the consultation to manage the internal operations of the company in order to improve the market condition and the management of the services to the clients. </w:t>
      </w:r>
    </w:p>
    <w:p>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 Technical Services: The technical services will include the creation of a website and the mobile application according to the demands of the customers. The company will also provide the services of upgrading the software and the technology used by the clients in order to improve their sales productivity and profitability in the competitive business market. It will also provide the services of data security along with the secure gateway for the e-commerce website of the client. The services will also include the financial consultation to the client regarding the use or up-gradation of a particular type of technology used by the client.</w:t>
      </w:r>
    </w:p>
    <w:p>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3. Marketing Consultation Services: The marketing services will include the research of the market for the client and provide them with suitable consultancy services. In this concern, the marketing consulting services will include the services of detailed market research that will include the areas that the client should focus on, factors that are restricting the growth and sustainability of the business in the competitive business market and the trends popular in the market in order to develop strategies as per that changes. In addition to this, the company will also provide consultancy services regarding the market of the company. </w:t>
      </w:r>
    </w:p>
    <w:p>
      <w:pPr>
        <w:pStyle w:val="3"/>
        <w:spacing w:line="480" w:lineRule="auto"/>
        <w:rPr>
          <w:rFonts w:ascii="Times New Roman" w:hAnsi="Times New Roman" w:cs="Times New Roman"/>
          <w:color w:val="000000" w:themeColor="text1"/>
          <w:sz w:val="24"/>
          <w:szCs w:val="24"/>
        </w:rPr>
      </w:pPr>
      <w:bookmarkStart w:id="10" w:name="_Toc65147140"/>
      <w:r>
        <w:rPr>
          <w:rFonts w:ascii="Times New Roman" w:hAnsi="Times New Roman" w:cs="Times New Roman"/>
          <w:color w:val="000000" w:themeColor="text1"/>
          <w:sz w:val="24"/>
          <w:szCs w:val="24"/>
        </w:rPr>
        <w:t>3.2 Competitive Comparison</w:t>
      </w:r>
      <w:bookmarkEnd w:id="10"/>
    </w:p>
    <w:p>
      <w:pPr>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company will face competition in the market in several forms that are described as follow: </w:t>
      </w:r>
    </w:p>
    <w:p>
      <w:pPr>
        <w:pStyle w:val="21"/>
        <w:numPr>
          <w:ilvl w:val="0"/>
          <w:numId w:val="4"/>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company provides services of consultation, technical services and marketing consultation, and due to this, the condition in which the company choose to perform channel development, marketing and technical up gradation house pose huge competition to the business of  Carnival Row Tech Consulting Limited. The companies have a position for the consultant that performs the function of consulting the company regarding the condition of the market and following a particular type of strategy in the competitive business environment. The advantage the company hold is that the clients require consultation on the variables such as technical consultation, marketing strategy and development of the new product, and they do not have experts in all these fields. In this concern, Carnival Row Tech Consulting Limited have experts in the different fields that provide consultation regarding various factors and issues.</w:t>
      </w:r>
    </w:p>
    <w:p>
      <w:pPr>
        <w:pStyle w:val="21"/>
        <w:numPr>
          <w:ilvl w:val="0"/>
          <w:numId w:val="4"/>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company will also face competition from the existing companies that provides consultations to the clients. The companies that provide consulting services to the clients include The Boston Consulting Company, McKinsey Company, Deloitte, Bain &amp; Company, PWC, EY and Accenture. These companies are established in the market, and due to this reason, they provide tough competition to Carnival Row Tech Consulting Limited. The company face competition from the established companies. The advantage that Carnival Row Tech Consulting Limited poses in the market is the expertise in the technical and market research field. The high level of expertise in the field will provide an advantage to the company, and due to this reason, the customers will take services from Carnival Row Tech Consulting Limited. </w:t>
      </w:r>
    </w:p>
    <w:p>
      <w:pPr>
        <w:pStyle w:val="21"/>
        <w:numPr>
          <w:ilvl w:val="0"/>
          <w:numId w:val="4"/>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company will also face intense competition from the international companies that provide consulting and technical services to the clients, such as Samsung and Tata Consulting Services. The companies are expert in the field of technical solution and provide technical software and consultation to clients. In order to overcome the competition from these companies, Carnival Row Tech Consulting Limited will choose the strategy of providing the services of technical support to the client along that will help in improving the market image of the company and gaining a high level of client satisfaction.</w:t>
      </w:r>
    </w:p>
    <w:p>
      <w:pPr>
        <w:pStyle w:val="21"/>
        <w:numPr>
          <w:ilvl w:val="0"/>
          <w:numId w:val="4"/>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small companies that provide consultation services also pose competition to the company in the market. The high brand image in the market will provide an advantage to Carnival Row Tech Consulting Limited, and it is able to make new clients and make a new ones.</w:t>
      </w:r>
    </w:p>
    <w:p>
      <w:pPr>
        <w:pStyle w:val="3"/>
        <w:spacing w:line="480" w:lineRule="auto"/>
        <w:rPr>
          <w:rFonts w:ascii="Times New Roman" w:hAnsi="Times New Roman" w:cs="Times New Roman"/>
          <w:color w:val="000000" w:themeColor="text1"/>
          <w:sz w:val="24"/>
          <w:szCs w:val="24"/>
        </w:rPr>
      </w:pPr>
      <w:bookmarkStart w:id="11" w:name="_Toc65147141"/>
      <w:r>
        <w:rPr>
          <w:rFonts w:ascii="Times New Roman" w:hAnsi="Times New Roman" w:cs="Times New Roman"/>
          <w:color w:val="000000" w:themeColor="text1"/>
          <w:sz w:val="24"/>
          <w:szCs w:val="24"/>
        </w:rPr>
        <w:t>3.3 Sales Literature</w:t>
      </w:r>
      <w:bookmarkEnd w:id="11"/>
    </w:p>
    <w:p>
      <w:pPr>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sales literature is an essential part of a company that helps in the marketing and promotion of the products and services provided by the company in the competitive business market. The sales literature of the company will include brochure, emails, a catalogue, magazine and media kits. The description of sales literature and its use is described as follow: </w:t>
      </w:r>
    </w:p>
    <w:p>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Brochure: The company will provide two types of brochure that will include the corporate brochure and product brochure that will provide information regarding the products and services provided by the company in the competitive business market. </w:t>
      </w:r>
    </w:p>
    <w:p>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Emails: Personalised email also contributes to improving the sales of a company by promoting the services to the client. The company will forward the promotional mail to the client on the basis of their requirements in order to increase the chance of sales percentage.</w:t>
      </w:r>
    </w:p>
    <w:p>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Catalogue: It is a list of the product and services that a company provides to the customers in the market. The catalogue of the company will include detail information regarding the products and the services provided by it in the competitive business market. </w:t>
      </w:r>
    </w:p>
    <w:p>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Magazine: The magazine will provide information regarding the milestones reached by the company in the past time and the figure for sales in the market. It will also be aware of the customers regarding the trends popular in the market and advanced services provided by the company.</w:t>
      </w:r>
    </w:p>
    <w:p>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Media kits: The media kit will include information regarding the business and management along with the products and services provided by the company. It will be released prior to the press release or press conference in order to aware the media and the customers regarding the launch of new product and services in the market. </w:t>
      </w:r>
    </w:p>
    <w:p>
      <w:pPr>
        <w:pStyle w:val="3"/>
        <w:spacing w:line="480" w:lineRule="auto"/>
        <w:rPr>
          <w:rFonts w:ascii="Times New Roman" w:hAnsi="Times New Roman" w:cs="Times New Roman"/>
          <w:color w:val="000000" w:themeColor="text1"/>
          <w:sz w:val="24"/>
          <w:szCs w:val="24"/>
        </w:rPr>
      </w:pPr>
      <w:bookmarkStart w:id="12" w:name="_Toc65147142"/>
      <w:r>
        <w:rPr>
          <w:rFonts w:ascii="Times New Roman" w:hAnsi="Times New Roman" w:cs="Times New Roman"/>
          <w:color w:val="000000" w:themeColor="text1"/>
          <w:sz w:val="24"/>
          <w:szCs w:val="24"/>
        </w:rPr>
        <w:t>3.4 Fulfilment</w:t>
      </w:r>
      <w:bookmarkEnd w:id="12"/>
    </w:p>
    <w:p>
      <w:pPr>
        <w:pStyle w:val="21"/>
        <w:numPr>
          <w:ilvl w:val="0"/>
          <w:numId w:val="5"/>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key fulfilment of the product will align with the principles in the business that will help the business in conducting it ethically. The core values of the business are technical expertise that will be built by education and hard work. </w:t>
      </w:r>
    </w:p>
    <w:p>
      <w:pPr>
        <w:pStyle w:val="21"/>
        <w:numPr>
          <w:ilvl w:val="0"/>
          <w:numId w:val="5"/>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company will provide the services to the client without delay in the time with the help of highly expert employees. In addition to this, the company also have freelancers that will work for the company in the condition of heavy workload and absentees of the regular employees. </w:t>
      </w:r>
    </w:p>
    <w:p>
      <w:pPr>
        <w:pStyle w:val="3"/>
        <w:spacing w:line="480" w:lineRule="auto"/>
        <w:rPr>
          <w:rFonts w:ascii="Times New Roman" w:hAnsi="Times New Roman" w:cs="Times New Roman"/>
          <w:color w:val="000000" w:themeColor="text1"/>
          <w:sz w:val="24"/>
          <w:szCs w:val="24"/>
        </w:rPr>
      </w:pPr>
      <w:bookmarkStart w:id="13" w:name="_Toc65147143"/>
      <w:r>
        <w:rPr>
          <w:rFonts w:ascii="Times New Roman" w:hAnsi="Times New Roman" w:cs="Times New Roman"/>
          <w:color w:val="000000" w:themeColor="text1"/>
          <w:sz w:val="24"/>
          <w:szCs w:val="24"/>
        </w:rPr>
        <w:t>3.5 Technology</w:t>
      </w:r>
      <w:bookmarkEnd w:id="13"/>
    </w:p>
    <w:p>
      <w:pPr>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company will gather technically advanced resources such as windows and mac operating software and platforms for the development of the software and websites for clients. The company will use email in order to communicate with the clients. It will use G-Suite and outlook in order to sink the emails and attend to them without leaving missing a single mail by the client. The use of the G-suite will provide the benefit of sinking the emails and system in order to improve the level of communication in the company.  In addition to this, the company will also develop several conference rooms in order to conduct meetings and video conferencing with the clients. In order to provide a video presentation, the company will develop several studio type setup that includes a high-resolution camera, microphone and a screen to project the screen of the computer. The company will use advanced developing tools for the development of applications, website and software. In order to publish the reports, media information and marketing materials, a separate account will be created that will provide information to the clients regarding promotional events and offers in order to increase their level of engagement. </w:t>
      </w:r>
    </w:p>
    <w:p>
      <w:pPr>
        <w:pStyle w:val="3"/>
        <w:spacing w:line="480" w:lineRule="auto"/>
        <w:rPr>
          <w:rFonts w:ascii="Times New Roman" w:hAnsi="Times New Roman" w:cs="Times New Roman"/>
          <w:color w:val="000000" w:themeColor="text1"/>
          <w:sz w:val="24"/>
          <w:szCs w:val="24"/>
        </w:rPr>
      </w:pPr>
      <w:bookmarkStart w:id="14" w:name="_Toc65147144"/>
      <w:r>
        <w:rPr>
          <w:rFonts w:ascii="Times New Roman" w:hAnsi="Times New Roman" w:cs="Times New Roman"/>
          <w:color w:val="000000" w:themeColor="text1"/>
          <w:sz w:val="24"/>
          <w:szCs w:val="24"/>
        </w:rPr>
        <w:t>3.6 Future Services</w:t>
      </w:r>
      <w:bookmarkEnd w:id="14"/>
    </w:p>
    <w:p>
      <w:pPr>
        <w:spacing w:after="0"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future services of the company will include the expansion of the services in the international market and provide additional services such as financial services and investment in the projects that have a high level of scope in the market. The condition of the company will also plan to provide an advanced level of services such as providing a customised newsletter to the clients that have subscribed to the services of the company.</w:t>
      </w:r>
    </w:p>
    <w:p>
      <w:pPr>
        <w:pStyle w:val="2"/>
        <w:spacing w:before="0" w:line="480" w:lineRule="auto"/>
        <w:jc w:val="both"/>
        <w:rPr>
          <w:rFonts w:ascii="Times New Roman" w:hAnsi="Times New Roman" w:cs="Times New Roman"/>
          <w:color w:val="000000" w:themeColor="text1"/>
          <w:sz w:val="24"/>
          <w:szCs w:val="24"/>
        </w:rPr>
      </w:pPr>
      <w:bookmarkStart w:id="15" w:name="_Toc65147145"/>
      <w:r>
        <w:rPr>
          <w:rFonts w:ascii="Times New Roman" w:hAnsi="Times New Roman" w:cs="Times New Roman"/>
          <w:color w:val="000000" w:themeColor="text1"/>
          <w:sz w:val="24"/>
          <w:szCs w:val="24"/>
        </w:rPr>
        <w:t>4.0 Market Analysis Summary</w:t>
      </w:r>
      <w:bookmarkEnd w:id="15"/>
    </w:p>
    <w:p>
      <w:p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There are several medium-sized and other companies currently operating in the markets of the US and Latin America. The potential customers for the company will be managers of the corporations operating in the same market, who are looking for specialised consultancy and expertise for creating new opportunities.</w:t>
      </w:r>
    </w:p>
    <w:p>
      <w:pPr>
        <w:pStyle w:val="3"/>
        <w:spacing w:before="0" w:line="480" w:lineRule="auto"/>
        <w:jc w:val="both"/>
        <w:rPr>
          <w:rFonts w:ascii="Times New Roman" w:hAnsi="Times New Roman" w:cs="Times New Roman"/>
          <w:color w:val="000000" w:themeColor="text1"/>
          <w:sz w:val="24"/>
          <w:szCs w:val="24"/>
        </w:rPr>
      </w:pPr>
      <w:bookmarkStart w:id="16" w:name="_Toc65147146"/>
      <w:r>
        <w:rPr>
          <w:rFonts w:ascii="Times New Roman" w:hAnsi="Times New Roman" w:cs="Times New Roman"/>
          <w:color w:val="000000" w:themeColor="text1"/>
          <w:sz w:val="24"/>
          <w:szCs w:val="24"/>
        </w:rPr>
        <w:t>4.1 Market Segmentation</w:t>
      </w:r>
      <w:bookmarkEnd w:id="16"/>
    </w:p>
    <w:p>
      <w:p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The key market segments for the company will be large corporates like; Apple, Samsung, IBM, Microsoft and Google seeking development functions through outsourcing. The company will assist them with advanced technology and consultancy to create opportunities in the market.</w:t>
      </w:r>
    </w:p>
    <w:p>
      <w:pPr>
        <w:pStyle w:val="3"/>
        <w:spacing w:before="0" w:line="480" w:lineRule="auto"/>
        <w:jc w:val="both"/>
        <w:rPr>
          <w:rFonts w:ascii="Times New Roman" w:hAnsi="Times New Roman" w:cs="Times New Roman"/>
          <w:color w:val="000000" w:themeColor="text1"/>
          <w:sz w:val="24"/>
          <w:szCs w:val="24"/>
        </w:rPr>
      </w:pPr>
      <w:bookmarkStart w:id="17" w:name="_Toc65147147"/>
      <w:r>
        <w:rPr>
          <w:rFonts w:ascii="Times New Roman" w:hAnsi="Times New Roman" w:cs="Times New Roman"/>
          <w:color w:val="000000" w:themeColor="text1"/>
          <w:sz w:val="24"/>
          <w:szCs w:val="24"/>
        </w:rPr>
        <w:t>4.2 Target Market Segment Strategy</w:t>
      </w:r>
      <w:bookmarkEnd w:id="17"/>
    </w:p>
    <w:p>
      <w:p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As already mentioned earlier, the company will focus majorly on potential customers of the US and Latin America, which will be the key customers in the eyes of the company.</w:t>
      </w:r>
    </w:p>
    <w:p>
      <w:pPr>
        <w:pStyle w:val="3"/>
        <w:spacing w:before="0" w:line="480" w:lineRule="auto"/>
        <w:jc w:val="both"/>
        <w:rPr>
          <w:rFonts w:ascii="Times New Roman" w:hAnsi="Times New Roman" w:cs="Times New Roman"/>
          <w:color w:val="000000" w:themeColor="text1"/>
          <w:sz w:val="24"/>
          <w:szCs w:val="24"/>
        </w:rPr>
      </w:pPr>
      <w:bookmarkStart w:id="18" w:name="_Toc65147148"/>
      <w:r>
        <w:rPr>
          <w:rFonts w:ascii="Times New Roman" w:hAnsi="Times New Roman" w:cs="Times New Roman"/>
          <w:color w:val="000000" w:themeColor="text1"/>
          <w:sz w:val="24"/>
          <w:szCs w:val="24"/>
        </w:rPr>
        <w:t>4.3 Service Business Analysis</w:t>
      </w:r>
      <w:bookmarkEnd w:id="18"/>
    </w:p>
    <w:p>
      <w:p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There are several established companies in the industry of consulting that range from international brand names to domestic brand names. This will be the key challenge for Carnival Row Tech Consulting Limited to encounter the competition strategically.</w:t>
      </w:r>
    </w:p>
    <w:p>
      <w:pPr>
        <w:pStyle w:val="4"/>
        <w:spacing w:before="0" w:line="480" w:lineRule="auto"/>
        <w:rPr>
          <w:rFonts w:ascii="Times New Roman" w:hAnsi="Times New Roman" w:cs="Times New Roman"/>
          <w:color w:val="000000" w:themeColor="text1"/>
          <w:sz w:val="24"/>
          <w:szCs w:val="24"/>
        </w:rPr>
      </w:pPr>
      <w:bookmarkStart w:id="19" w:name="_Toc65147149"/>
      <w:r>
        <w:rPr>
          <w:rFonts w:ascii="Times New Roman" w:hAnsi="Times New Roman" w:cs="Times New Roman"/>
          <w:color w:val="000000" w:themeColor="text1"/>
          <w:sz w:val="24"/>
          <w:szCs w:val="24"/>
        </w:rPr>
        <w:t>4.3.1 Business Participants</w:t>
      </w:r>
      <w:bookmarkEnd w:id="19"/>
    </w:p>
    <w:p>
      <w:pPr>
        <w:spacing w:after="0"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various participants include consultants, personnel, managers and owner. The company has recruited consultants who have sufficient expertise in the business field. This will assist the company in providing better services to its potential clients. The managers will also facilitate the smooth functioning of the business operations.</w:t>
      </w:r>
    </w:p>
    <w:p>
      <w:pPr>
        <w:pStyle w:val="4"/>
        <w:spacing w:before="0" w:line="480" w:lineRule="auto"/>
        <w:rPr>
          <w:rFonts w:ascii="Times New Roman" w:hAnsi="Times New Roman" w:cs="Times New Roman"/>
          <w:color w:val="000000" w:themeColor="text1"/>
          <w:sz w:val="24"/>
          <w:szCs w:val="24"/>
        </w:rPr>
      </w:pPr>
      <w:bookmarkStart w:id="20" w:name="_Toc65147150"/>
      <w:r>
        <w:rPr>
          <w:rFonts w:ascii="Times New Roman" w:hAnsi="Times New Roman" w:cs="Times New Roman"/>
          <w:color w:val="000000" w:themeColor="text1"/>
          <w:sz w:val="24"/>
          <w:szCs w:val="24"/>
        </w:rPr>
        <w:t>4.3.2 Distributing a Service</w:t>
      </w:r>
      <w:bookmarkEnd w:id="20"/>
    </w:p>
    <w:p>
      <w:pPr>
        <w:spacing w:after="0"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company will provide business consulting solutions to its customers. The company will provide various types of services to its customers as per their preferences. The different types of activities include retail business consulting, preparation of reports, project planning and others such as digital marketing services and web-based services.</w:t>
      </w:r>
    </w:p>
    <w:p>
      <w:pPr>
        <w:pStyle w:val="4"/>
        <w:spacing w:before="0" w:line="480" w:lineRule="auto"/>
        <w:rPr>
          <w:rFonts w:ascii="Times New Roman" w:hAnsi="Times New Roman" w:cs="Times New Roman"/>
          <w:color w:val="000000" w:themeColor="text1"/>
          <w:sz w:val="24"/>
          <w:szCs w:val="24"/>
        </w:rPr>
      </w:pPr>
      <w:bookmarkStart w:id="21" w:name="_Toc65147151"/>
      <w:r>
        <w:rPr>
          <w:rFonts w:ascii="Times New Roman" w:hAnsi="Times New Roman" w:cs="Times New Roman"/>
          <w:color w:val="000000" w:themeColor="text1"/>
          <w:sz w:val="24"/>
          <w:szCs w:val="24"/>
        </w:rPr>
        <w:t>4.3.3 Competition</w:t>
      </w:r>
      <w:bookmarkEnd w:id="21"/>
    </w:p>
    <w:p>
      <w:pPr>
        <w:spacing w:after="0"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company will be made a sound relationship with its customers by providing quality and affordable services to its clients. This will assist the company in gaining a competitive edge in the market.</w:t>
      </w:r>
    </w:p>
    <w:p>
      <w:pPr>
        <w:pStyle w:val="4"/>
        <w:spacing w:before="0" w:line="480" w:lineRule="auto"/>
        <w:rPr>
          <w:rFonts w:ascii="Times New Roman" w:hAnsi="Times New Roman" w:cs="Times New Roman"/>
          <w:color w:val="000000" w:themeColor="text1"/>
          <w:sz w:val="24"/>
          <w:szCs w:val="24"/>
        </w:rPr>
      </w:pPr>
      <w:bookmarkStart w:id="22" w:name="_Toc65147152"/>
      <w:r>
        <w:rPr>
          <w:rFonts w:ascii="Times New Roman" w:hAnsi="Times New Roman" w:cs="Times New Roman"/>
          <w:color w:val="000000" w:themeColor="text1"/>
          <w:sz w:val="24"/>
          <w:szCs w:val="24"/>
        </w:rPr>
        <w:t>4.3.4 Key Competitor</w:t>
      </w:r>
      <w:bookmarkEnd w:id="22"/>
    </w:p>
    <w:p>
      <w:pPr>
        <w:spacing w:after="0"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key competitors of the company are McKinsey, Deloitte and EY. Such competitors may create a threat for the company. </w:t>
      </w:r>
    </w:p>
    <w:p>
      <w:pPr>
        <w:pStyle w:val="2"/>
        <w:spacing w:before="0" w:line="480" w:lineRule="auto"/>
        <w:jc w:val="both"/>
        <w:rPr>
          <w:rFonts w:ascii="Times New Roman" w:hAnsi="Times New Roman" w:cs="Times New Roman"/>
          <w:color w:val="000000" w:themeColor="text1"/>
          <w:sz w:val="24"/>
          <w:szCs w:val="24"/>
        </w:rPr>
      </w:pPr>
      <w:bookmarkStart w:id="23" w:name="_Toc65147153"/>
      <w:r>
        <w:rPr>
          <w:rFonts w:ascii="Times New Roman" w:hAnsi="Times New Roman" w:cs="Times New Roman"/>
          <w:color w:val="000000" w:themeColor="text1"/>
          <w:sz w:val="24"/>
          <w:szCs w:val="24"/>
        </w:rPr>
        <w:t>5.0 Strategy and Implementation Summary</w:t>
      </w:r>
      <w:bookmarkEnd w:id="23"/>
    </w:p>
    <w:p>
      <w:p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Carnival Row Tech Consulting Limited will initially focus on the two key geographical markets of the world namely; the US and Latin America in order to penetrate the market and attain sound business reach for higher performance and profitability. Further, the management will majorly focus on the segments like consulting to retail businesses, project consulting, research, preparation of the reports and other similar kinds of consulting services (including payment gateway, digital marketing campaign, up-gradation of technology, mobile applications, company's website, secure gateway, e-commerce, banking solutions and cloud). The target customer for Carnival Row Tech Consulting Limited will be managers of the various corporations operating in the geographical market of Latin America and the US.</w:t>
      </w:r>
    </w:p>
    <w:p>
      <w:pPr>
        <w:pStyle w:val="3"/>
        <w:spacing w:before="0" w:line="480" w:lineRule="auto"/>
        <w:jc w:val="both"/>
        <w:rPr>
          <w:rFonts w:ascii="Times New Roman" w:hAnsi="Times New Roman" w:cs="Times New Roman"/>
          <w:color w:val="000000" w:themeColor="text1"/>
          <w:sz w:val="24"/>
          <w:szCs w:val="24"/>
        </w:rPr>
      </w:pPr>
      <w:bookmarkStart w:id="24" w:name="_Toc65147154"/>
      <w:r>
        <w:rPr>
          <w:rFonts w:ascii="Times New Roman" w:hAnsi="Times New Roman" w:cs="Times New Roman"/>
          <w:color w:val="000000" w:themeColor="text1"/>
          <w:sz w:val="24"/>
          <w:szCs w:val="24"/>
        </w:rPr>
        <w:t>5.1 Competitive Advantages</w:t>
      </w:r>
      <w:bookmarkEnd w:id="24"/>
    </w:p>
    <w:p>
      <w:p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 xml:space="preserve">The demand in the market currently is quite high and since the production capacity of Carnival Row Tech Consulting Limited is sound, it will have no issues in meeting the demands in the market and thereby prospering in the market to gain a competitive edge over its existing rivals in the market. The experience possessed by the management will prove crucial for the company to establish its strong foothold in the US market. The offering of quality tech consulting services along with quality features, in addition, will assist the company to make its presence feel in the market in a short period of time. </w:t>
      </w:r>
    </w:p>
    <w:p>
      <w:pPr>
        <w:pStyle w:val="3"/>
        <w:spacing w:before="0" w:line="480" w:lineRule="auto"/>
        <w:jc w:val="both"/>
        <w:rPr>
          <w:rFonts w:ascii="Times New Roman" w:hAnsi="Times New Roman" w:cs="Times New Roman"/>
          <w:color w:val="000000" w:themeColor="text1"/>
          <w:sz w:val="24"/>
          <w:szCs w:val="24"/>
        </w:rPr>
      </w:pPr>
      <w:bookmarkStart w:id="25" w:name="_Toc65147155"/>
      <w:r>
        <w:rPr>
          <w:rFonts w:ascii="Times New Roman" w:hAnsi="Times New Roman" w:cs="Times New Roman"/>
          <w:color w:val="000000" w:themeColor="text1"/>
          <w:sz w:val="24"/>
          <w:szCs w:val="24"/>
        </w:rPr>
        <w:t>5.2 Pricing Strategy</w:t>
      </w:r>
      <w:bookmarkEnd w:id="25"/>
    </w:p>
    <w:p>
      <w:p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The management of consulting limited will price the services that could be affordable by the clients in the market and thereby allow the company to compete with existing players under the brand name of consultants. The quality should of the services to be offered will not be compromised by the company. The consulting price for retail businesses will be $500 per customer or client, for project consulting the company will charge $1000 per customer, for research the company will charge $800 per customer, for report preparation the company will charge $150 per customer and for other tech services the company will charge $90 per customer.</w:t>
      </w:r>
    </w:p>
    <w:p>
      <w:pPr>
        <w:pStyle w:val="3"/>
        <w:spacing w:before="0" w:line="480" w:lineRule="auto"/>
        <w:rPr>
          <w:rFonts w:ascii="Times New Roman" w:hAnsi="Times New Roman" w:cs="Times New Roman"/>
          <w:color w:val="000000" w:themeColor="text1"/>
          <w:sz w:val="24"/>
          <w:szCs w:val="24"/>
        </w:rPr>
      </w:pPr>
      <w:bookmarkStart w:id="26" w:name="_Toc65147156"/>
      <w:r>
        <w:rPr>
          <w:rFonts w:ascii="Times New Roman" w:hAnsi="Times New Roman" w:cs="Times New Roman"/>
          <w:color w:val="000000" w:themeColor="text1"/>
          <w:sz w:val="24"/>
          <w:szCs w:val="24"/>
        </w:rPr>
        <w:t>5.3 Sales Strategy</w:t>
      </w:r>
      <w:bookmarkEnd w:id="26"/>
    </w:p>
    <w:p>
      <w:p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Sales Forecast</w:t>
      </w:r>
    </w:p>
    <w:tbl>
      <w:tblPr>
        <w:tblStyle w:val="6"/>
        <w:tblW w:w="5000" w:type="pct"/>
        <w:tblInd w:w="0" w:type="dxa"/>
        <w:tblLayout w:type="autofit"/>
        <w:tblCellMar>
          <w:top w:w="0" w:type="dxa"/>
          <w:left w:w="108" w:type="dxa"/>
          <w:bottom w:w="0" w:type="dxa"/>
          <w:right w:w="108" w:type="dxa"/>
        </w:tblCellMar>
      </w:tblPr>
      <w:tblGrid>
        <w:gridCol w:w="4868"/>
        <w:gridCol w:w="1473"/>
        <w:gridCol w:w="1756"/>
        <w:gridCol w:w="1479"/>
      </w:tblGrid>
      <w:tr>
        <w:tblPrEx>
          <w:tblCellMar>
            <w:top w:w="0" w:type="dxa"/>
            <w:left w:w="108" w:type="dxa"/>
            <w:bottom w:w="0" w:type="dxa"/>
            <w:right w:w="108" w:type="dxa"/>
          </w:tblCellMar>
        </w:tblPrEx>
        <w:trPr>
          <w:trHeight w:val="288" w:hRule="atLeast"/>
        </w:trPr>
        <w:tc>
          <w:tcPr>
            <w:tcW w:w="5000" w:type="pct"/>
            <w:gridSpan w:val="4"/>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center"/>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Carnival Row Tech Consulting Limited</w:t>
            </w:r>
          </w:p>
        </w:tc>
      </w:tr>
      <w:tr>
        <w:tblPrEx>
          <w:tblCellMar>
            <w:top w:w="0" w:type="dxa"/>
            <w:left w:w="108" w:type="dxa"/>
            <w:bottom w:w="0" w:type="dxa"/>
            <w:right w:w="108" w:type="dxa"/>
          </w:tblCellMar>
        </w:tblPrEx>
        <w:trPr>
          <w:trHeight w:val="288" w:hRule="atLeast"/>
        </w:trPr>
        <w:tc>
          <w:tcPr>
            <w:tcW w:w="5000" w:type="pct"/>
            <w:gridSpan w:val="4"/>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center"/>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Sales Forecast</w:t>
            </w:r>
          </w:p>
        </w:tc>
      </w:tr>
      <w:tr>
        <w:tblPrEx>
          <w:tblCellMar>
            <w:top w:w="0" w:type="dxa"/>
            <w:left w:w="108" w:type="dxa"/>
            <w:bottom w:w="0" w:type="dxa"/>
            <w:right w:w="108" w:type="dxa"/>
          </w:tblCellMar>
        </w:tblPrEx>
        <w:trPr>
          <w:trHeight w:val="288" w:hRule="atLeast"/>
        </w:trPr>
        <w:tc>
          <w:tcPr>
            <w:tcW w:w="2542"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Sales</w:t>
            </w:r>
          </w:p>
        </w:tc>
        <w:tc>
          <w:tcPr>
            <w:tcW w:w="76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Year 1</w:t>
            </w:r>
          </w:p>
        </w:tc>
        <w:tc>
          <w:tcPr>
            <w:tcW w:w="91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Year 2</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Year 3</w:t>
            </w:r>
          </w:p>
        </w:tc>
      </w:tr>
      <w:tr>
        <w:tblPrEx>
          <w:tblCellMar>
            <w:top w:w="0" w:type="dxa"/>
            <w:left w:w="108" w:type="dxa"/>
            <w:bottom w:w="0" w:type="dxa"/>
            <w:right w:w="108" w:type="dxa"/>
          </w:tblCellMar>
        </w:tblPrEx>
        <w:trPr>
          <w:trHeight w:val="288" w:hRule="atLeast"/>
        </w:trPr>
        <w:tc>
          <w:tcPr>
            <w:tcW w:w="2542"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Consulting to retail businesses</w:t>
            </w:r>
          </w:p>
        </w:tc>
        <w:tc>
          <w:tcPr>
            <w:tcW w:w="76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150000</w:t>
            </w:r>
          </w:p>
        </w:tc>
        <w:tc>
          <w:tcPr>
            <w:tcW w:w="91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165000</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181500</w:t>
            </w:r>
          </w:p>
        </w:tc>
      </w:tr>
      <w:tr>
        <w:tblPrEx>
          <w:tblCellMar>
            <w:top w:w="0" w:type="dxa"/>
            <w:left w:w="108" w:type="dxa"/>
            <w:bottom w:w="0" w:type="dxa"/>
            <w:right w:w="108" w:type="dxa"/>
          </w:tblCellMar>
        </w:tblPrEx>
        <w:trPr>
          <w:trHeight w:val="288" w:hRule="atLeast"/>
        </w:trPr>
        <w:tc>
          <w:tcPr>
            <w:tcW w:w="2542"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Project consulting</w:t>
            </w:r>
          </w:p>
        </w:tc>
        <w:tc>
          <w:tcPr>
            <w:tcW w:w="76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200000</w:t>
            </w:r>
          </w:p>
        </w:tc>
        <w:tc>
          <w:tcPr>
            <w:tcW w:w="91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220000</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242000</w:t>
            </w:r>
          </w:p>
        </w:tc>
      </w:tr>
      <w:tr>
        <w:tblPrEx>
          <w:tblCellMar>
            <w:top w:w="0" w:type="dxa"/>
            <w:left w:w="108" w:type="dxa"/>
            <w:bottom w:w="0" w:type="dxa"/>
            <w:right w:w="108" w:type="dxa"/>
          </w:tblCellMar>
        </w:tblPrEx>
        <w:trPr>
          <w:trHeight w:val="288" w:hRule="atLeast"/>
        </w:trPr>
        <w:tc>
          <w:tcPr>
            <w:tcW w:w="2542"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Research</w:t>
            </w:r>
          </w:p>
        </w:tc>
        <w:tc>
          <w:tcPr>
            <w:tcW w:w="76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120000</w:t>
            </w:r>
          </w:p>
        </w:tc>
        <w:tc>
          <w:tcPr>
            <w:tcW w:w="91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132000</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145600</w:t>
            </w:r>
          </w:p>
        </w:tc>
      </w:tr>
      <w:tr>
        <w:tblPrEx>
          <w:tblCellMar>
            <w:top w:w="0" w:type="dxa"/>
            <w:left w:w="108" w:type="dxa"/>
            <w:bottom w:w="0" w:type="dxa"/>
            <w:right w:w="108" w:type="dxa"/>
          </w:tblCellMar>
        </w:tblPrEx>
        <w:trPr>
          <w:trHeight w:val="288" w:hRule="atLeast"/>
        </w:trPr>
        <w:tc>
          <w:tcPr>
            <w:tcW w:w="2542"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Preparation of Reports</w:t>
            </w:r>
          </w:p>
        </w:tc>
        <w:tc>
          <w:tcPr>
            <w:tcW w:w="76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25500</w:t>
            </w:r>
          </w:p>
        </w:tc>
        <w:tc>
          <w:tcPr>
            <w:tcW w:w="91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28050</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30000</w:t>
            </w:r>
          </w:p>
        </w:tc>
      </w:tr>
      <w:tr>
        <w:tblPrEx>
          <w:tblCellMar>
            <w:top w:w="0" w:type="dxa"/>
            <w:left w:w="108" w:type="dxa"/>
            <w:bottom w:w="0" w:type="dxa"/>
            <w:right w:w="108" w:type="dxa"/>
          </w:tblCellMar>
        </w:tblPrEx>
        <w:trPr>
          <w:trHeight w:val="288" w:hRule="atLeast"/>
        </w:trPr>
        <w:tc>
          <w:tcPr>
            <w:tcW w:w="2542"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Others</w:t>
            </w:r>
          </w:p>
        </w:tc>
        <w:tc>
          <w:tcPr>
            <w:tcW w:w="76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9900</w:t>
            </w:r>
          </w:p>
        </w:tc>
        <w:tc>
          <w:tcPr>
            <w:tcW w:w="91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10890</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11970</w:t>
            </w:r>
          </w:p>
        </w:tc>
      </w:tr>
      <w:tr>
        <w:tblPrEx>
          <w:tblCellMar>
            <w:top w:w="0" w:type="dxa"/>
            <w:left w:w="108" w:type="dxa"/>
            <w:bottom w:w="0" w:type="dxa"/>
            <w:right w:w="108" w:type="dxa"/>
          </w:tblCellMar>
        </w:tblPrEx>
        <w:trPr>
          <w:trHeight w:val="288" w:hRule="atLeast"/>
        </w:trPr>
        <w:tc>
          <w:tcPr>
            <w:tcW w:w="2542"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Total sales</w:t>
            </w:r>
          </w:p>
        </w:tc>
        <w:tc>
          <w:tcPr>
            <w:tcW w:w="76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505400</w:t>
            </w:r>
          </w:p>
        </w:tc>
        <w:tc>
          <w:tcPr>
            <w:tcW w:w="91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555940</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611070</w:t>
            </w:r>
          </w:p>
        </w:tc>
      </w:tr>
      <w:tr>
        <w:tblPrEx>
          <w:tblCellMar>
            <w:top w:w="0" w:type="dxa"/>
            <w:left w:w="108" w:type="dxa"/>
            <w:bottom w:w="0" w:type="dxa"/>
            <w:right w:w="108" w:type="dxa"/>
          </w:tblCellMar>
        </w:tblPrEx>
        <w:trPr>
          <w:trHeight w:val="288" w:hRule="atLeast"/>
        </w:trPr>
        <w:tc>
          <w:tcPr>
            <w:tcW w:w="2542"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76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91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r>
      <w:tr>
        <w:tblPrEx>
          <w:tblCellMar>
            <w:top w:w="0" w:type="dxa"/>
            <w:left w:w="108" w:type="dxa"/>
            <w:bottom w:w="0" w:type="dxa"/>
            <w:right w:w="108" w:type="dxa"/>
          </w:tblCellMar>
        </w:tblPrEx>
        <w:trPr>
          <w:trHeight w:val="288" w:hRule="atLeast"/>
        </w:trPr>
        <w:tc>
          <w:tcPr>
            <w:tcW w:w="2542"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Direct cost of sales:</w:t>
            </w:r>
          </w:p>
        </w:tc>
        <w:tc>
          <w:tcPr>
            <w:tcW w:w="76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91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r>
      <w:tr>
        <w:tblPrEx>
          <w:tblCellMar>
            <w:top w:w="0" w:type="dxa"/>
            <w:left w:w="108" w:type="dxa"/>
            <w:bottom w:w="0" w:type="dxa"/>
            <w:right w:w="108" w:type="dxa"/>
          </w:tblCellMar>
        </w:tblPrEx>
        <w:trPr>
          <w:trHeight w:val="288" w:hRule="atLeast"/>
        </w:trPr>
        <w:tc>
          <w:tcPr>
            <w:tcW w:w="2542"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Consulting to retail businesses</w:t>
            </w:r>
          </w:p>
        </w:tc>
        <w:tc>
          <w:tcPr>
            <w:tcW w:w="76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45000</w:t>
            </w:r>
          </w:p>
        </w:tc>
        <w:tc>
          <w:tcPr>
            <w:tcW w:w="91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49500</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54450</w:t>
            </w:r>
          </w:p>
        </w:tc>
      </w:tr>
      <w:tr>
        <w:tblPrEx>
          <w:tblCellMar>
            <w:top w:w="0" w:type="dxa"/>
            <w:left w:w="108" w:type="dxa"/>
            <w:bottom w:w="0" w:type="dxa"/>
            <w:right w:w="108" w:type="dxa"/>
          </w:tblCellMar>
        </w:tblPrEx>
        <w:trPr>
          <w:trHeight w:val="288" w:hRule="atLeast"/>
        </w:trPr>
        <w:tc>
          <w:tcPr>
            <w:tcW w:w="2542"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Project consulting</w:t>
            </w:r>
          </w:p>
        </w:tc>
        <w:tc>
          <w:tcPr>
            <w:tcW w:w="76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70000</w:t>
            </w:r>
          </w:p>
        </w:tc>
        <w:tc>
          <w:tcPr>
            <w:tcW w:w="91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77000</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84700</w:t>
            </w:r>
          </w:p>
        </w:tc>
      </w:tr>
      <w:tr>
        <w:tblPrEx>
          <w:tblCellMar>
            <w:top w:w="0" w:type="dxa"/>
            <w:left w:w="108" w:type="dxa"/>
            <w:bottom w:w="0" w:type="dxa"/>
            <w:right w:w="108" w:type="dxa"/>
          </w:tblCellMar>
        </w:tblPrEx>
        <w:trPr>
          <w:trHeight w:val="288" w:hRule="atLeast"/>
        </w:trPr>
        <w:tc>
          <w:tcPr>
            <w:tcW w:w="2542"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Research</w:t>
            </w:r>
          </w:p>
        </w:tc>
        <w:tc>
          <w:tcPr>
            <w:tcW w:w="76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36000</w:t>
            </w:r>
          </w:p>
        </w:tc>
        <w:tc>
          <w:tcPr>
            <w:tcW w:w="91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39600</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43680</w:t>
            </w:r>
          </w:p>
        </w:tc>
      </w:tr>
      <w:tr>
        <w:tblPrEx>
          <w:tblCellMar>
            <w:top w:w="0" w:type="dxa"/>
            <w:left w:w="108" w:type="dxa"/>
            <w:bottom w:w="0" w:type="dxa"/>
            <w:right w:w="108" w:type="dxa"/>
          </w:tblCellMar>
        </w:tblPrEx>
        <w:trPr>
          <w:trHeight w:val="288" w:hRule="atLeast"/>
        </w:trPr>
        <w:tc>
          <w:tcPr>
            <w:tcW w:w="2542"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Preparation of Reports</w:t>
            </w:r>
          </w:p>
        </w:tc>
        <w:tc>
          <w:tcPr>
            <w:tcW w:w="76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6375</w:t>
            </w:r>
          </w:p>
        </w:tc>
        <w:tc>
          <w:tcPr>
            <w:tcW w:w="91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7012.5</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7500</w:t>
            </w:r>
          </w:p>
        </w:tc>
      </w:tr>
      <w:tr>
        <w:tblPrEx>
          <w:tblCellMar>
            <w:top w:w="0" w:type="dxa"/>
            <w:left w:w="108" w:type="dxa"/>
            <w:bottom w:w="0" w:type="dxa"/>
            <w:right w:w="108" w:type="dxa"/>
          </w:tblCellMar>
        </w:tblPrEx>
        <w:trPr>
          <w:trHeight w:val="288" w:hRule="atLeast"/>
        </w:trPr>
        <w:tc>
          <w:tcPr>
            <w:tcW w:w="2542"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Others</w:t>
            </w:r>
          </w:p>
        </w:tc>
        <w:tc>
          <w:tcPr>
            <w:tcW w:w="76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2970</w:t>
            </w:r>
          </w:p>
        </w:tc>
        <w:tc>
          <w:tcPr>
            <w:tcW w:w="91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3267</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3591</w:t>
            </w:r>
          </w:p>
        </w:tc>
      </w:tr>
      <w:tr>
        <w:tblPrEx>
          <w:tblCellMar>
            <w:top w:w="0" w:type="dxa"/>
            <w:left w:w="108" w:type="dxa"/>
            <w:bottom w:w="0" w:type="dxa"/>
            <w:right w:w="108" w:type="dxa"/>
          </w:tblCellMar>
        </w:tblPrEx>
        <w:trPr>
          <w:trHeight w:val="288" w:hRule="atLeast"/>
        </w:trPr>
        <w:tc>
          <w:tcPr>
            <w:tcW w:w="2542"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Sales direct cost</w:t>
            </w:r>
          </w:p>
        </w:tc>
        <w:tc>
          <w:tcPr>
            <w:tcW w:w="76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160345</w:t>
            </w:r>
          </w:p>
        </w:tc>
        <w:tc>
          <w:tcPr>
            <w:tcW w:w="91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176379.5</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193921</w:t>
            </w:r>
          </w:p>
        </w:tc>
      </w:tr>
    </w:tbl>
    <w:p>
      <w:pPr>
        <w:spacing w:after="0" w:line="480" w:lineRule="auto"/>
        <w:rPr>
          <w:rFonts w:ascii="Times New Roman" w:hAnsi="Times New Roman" w:cs="Times New Roman"/>
          <w:color w:val="000000" w:themeColor="text1"/>
          <w:sz w:val="24"/>
          <w:szCs w:val="24"/>
        </w:rPr>
      </w:pPr>
    </w:p>
    <w:p>
      <w:pPr>
        <w:spacing w:after="0"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drawing>
          <wp:inline distT="0" distB="0" distL="114300" distR="114300">
            <wp:extent cx="5296535" cy="2375535"/>
            <wp:effectExtent l="19050" t="0" r="0" b="0"/>
            <wp:docPr id="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pPr>
        <w:pStyle w:val="3"/>
        <w:spacing w:before="0" w:line="480" w:lineRule="auto"/>
        <w:rPr>
          <w:rFonts w:ascii="Times New Roman" w:hAnsi="Times New Roman" w:cs="Times New Roman"/>
          <w:color w:val="000000" w:themeColor="text1"/>
          <w:sz w:val="24"/>
          <w:szCs w:val="24"/>
        </w:rPr>
      </w:pPr>
      <w:bookmarkStart w:id="27" w:name="_Toc65147157"/>
      <w:r>
        <w:rPr>
          <w:rFonts w:ascii="Times New Roman" w:hAnsi="Times New Roman" w:cs="Times New Roman"/>
          <w:color w:val="000000" w:themeColor="text1"/>
          <w:sz w:val="24"/>
          <w:szCs w:val="24"/>
        </w:rPr>
        <w:t>5.4 Milestones</w:t>
      </w:r>
      <w:bookmarkEnd w:id="27"/>
    </w:p>
    <w:p>
      <w:p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The detailed milestone of the company is reflected in the below-mentioned table, which includes the start and end dates of the milestones along with the various departments.</w:t>
      </w:r>
    </w:p>
    <w:p>
      <w:p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Milestone</w:t>
      </w:r>
    </w:p>
    <w:tbl>
      <w:tblPr>
        <w:tblStyle w:val="6"/>
        <w:tblW w:w="5000" w:type="pct"/>
        <w:tblInd w:w="0" w:type="dxa"/>
        <w:tblLayout w:type="autofit"/>
        <w:tblCellMar>
          <w:top w:w="0" w:type="dxa"/>
          <w:left w:w="108" w:type="dxa"/>
          <w:bottom w:w="0" w:type="dxa"/>
          <w:right w:w="108" w:type="dxa"/>
        </w:tblCellMar>
      </w:tblPr>
      <w:tblGrid>
        <w:gridCol w:w="2571"/>
        <w:gridCol w:w="1611"/>
        <w:gridCol w:w="1611"/>
        <w:gridCol w:w="3783"/>
      </w:tblGrid>
      <w:tr>
        <w:tblPrEx>
          <w:tblCellMar>
            <w:top w:w="0" w:type="dxa"/>
            <w:left w:w="108" w:type="dxa"/>
            <w:bottom w:w="0" w:type="dxa"/>
            <w:right w:w="108" w:type="dxa"/>
          </w:tblCellMar>
        </w:tblPrEx>
        <w:trPr>
          <w:trHeight w:val="288" w:hRule="atLeast"/>
        </w:trPr>
        <w:tc>
          <w:tcPr>
            <w:tcW w:w="5000" w:type="pct"/>
            <w:gridSpan w:val="4"/>
            <w:tcBorders>
              <w:top w:val="single" w:color="000000" w:sz="4" w:space="0"/>
              <w:left w:val="single" w:color="000000" w:sz="4" w:space="0"/>
              <w:bottom w:val="single" w:color="000000" w:sz="4" w:space="0"/>
              <w:right w:val="single" w:color="000000" w:sz="4" w:space="0"/>
            </w:tcBorders>
            <w:shd w:val="clear" w:color="auto" w:fill="CCC0D9" w:themeFill="accent4" w:themeFillTint="66"/>
            <w:noWrap/>
            <w:vAlign w:val="bottom"/>
          </w:tcPr>
          <w:p>
            <w:pPr>
              <w:spacing w:after="0" w:line="240" w:lineRule="auto"/>
              <w:jc w:val="center"/>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Milestone</w:t>
            </w:r>
          </w:p>
        </w:tc>
      </w:tr>
      <w:tr>
        <w:tblPrEx>
          <w:tblCellMar>
            <w:top w:w="0" w:type="dxa"/>
            <w:left w:w="108" w:type="dxa"/>
            <w:bottom w:w="0" w:type="dxa"/>
            <w:right w:w="108" w:type="dxa"/>
          </w:tblCellMar>
        </w:tblPrEx>
        <w:trPr>
          <w:trHeight w:val="288" w:hRule="atLeast"/>
        </w:trPr>
        <w:tc>
          <w:tcPr>
            <w:tcW w:w="1343" w:type="pct"/>
            <w:tcBorders>
              <w:top w:val="single" w:color="000000" w:sz="4" w:space="0"/>
              <w:left w:val="single" w:color="000000" w:sz="4" w:space="0"/>
              <w:bottom w:val="single" w:color="000000" w:sz="4" w:space="0"/>
              <w:right w:val="single" w:color="000000" w:sz="4" w:space="0"/>
            </w:tcBorders>
            <w:shd w:val="clear" w:color="auto" w:fill="CCC0D9" w:themeFill="accent4" w:themeFillTint="66"/>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Particulars</w:t>
            </w:r>
          </w:p>
        </w:tc>
        <w:tc>
          <w:tcPr>
            <w:tcW w:w="841" w:type="pct"/>
            <w:tcBorders>
              <w:top w:val="single" w:color="000000" w:sz="4" w:space="0"/>
              <w:left w:val="single" w:color="000000" w:sz="4" w:space="0"/>
              <w:bottom w:val="single" w:color="000000" w:sz="4" w:space="0"/>
              <w:right w:val="single" w:color="000000" w:sz="4" w:space="0"/>
            </w:tcBorders>
            <w:shd w:val="clear" w:color="auto" w:fill="CCC0D9" w:themeFill="accent4" w:themeFillTint="66"/>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Start Date</w:t>
            </w:r>
          </w:p>
        </w:tc>
        <w:tc>
          <w:tcPr>
            <w:tcW w:w="841" w:type="pct"/>
            <w:tcBorders>
              <w:top w:val="single" w:color="000000" w:sz="4" w:space="0"/>
              <w:left w:val="single" w:color="000000" w:sz="4" w:space="0"/>
              <w:bottom w:val="single" w:color="000000" w:sz="4" w:space="0"/>
              <w:right w:val="single" w:color="000000" w:sz="4" w:space="0"/>
            </w:tcBorders>
            <w:shd w:val="clear" w:color="auto" w:fill="CCC0D9" w:themeFill="accent4" w:themeFillTint="66"/>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End Date</w:t>
            </w:r>
          </w:p>
        </w:tc>
        <w:tc>
          <w:tcPr>
            <w:tcW w:w="1973" w:type="pct"/>
            <w:tcBorders>
              <w:top w:val="single" w:color="000000" w:sz="4" w:space="0"/>
              <w:left w:val="single" w:color="000000" w:sz="4" w:space="0"/>
              <w:bottom w:val="single" w:color="000000" w:sz="4" w:space="0"/>
              <w:right w:val="single" w:color="000000" w:sz="4" w:space="0"/>
            </w:tcBorders>
            <w:shd w:val="clear" w:color="auto" w:fill="CCC0D9" w:themeFill="accent4" w:themeFillTint="66"/>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Department</w:t>
            </w:r>
          </w:p>
        </w:tc>
      </w:tr>
      <w:tr>
        <w:tblPrEx>
          <w:tblCellMar>
            <w:top w:w="0" w:type="dxa"/>
            <w:left w:w="108" w:type="dxa"/>
            <w:bottom w:w="0" w:type="dxa"/>
            <w:right w:w="108" w:type="dxa"/>
          </w:tblCellMar>
        </w:tblPrEx>
        <w:trPr>
          <w:trHeight w:val="288" w:hRule="atLeast"/>
        </w:trPr>
        <w:tc>
          <w:tcPr>
            <w:tcW w:w="134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Business plan</w:t>
            </w:r>
          </w:p>
        </w:tc>
        <w:tc>
          <w:tcPr>
            <w:tcW w:w="84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2/24/2021</w:t>
            </w:r>
          </w:p>
        </w:tc>
        <w:tc>
          <w:tcPr>
            <w:tcW w:w="84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2/27/2021</w:t>
            </w:r>
          </w:p>
        </w:tc>
        <w:tc>
          <w:tcPr>
            <w:tcW w:w="19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Human Resource Management</w:t>
            </w:r>
          </w:p>
        </w:tc>
      </w:tr>
      <w:tr>
        <w:tblPrEx>
          <w:tblCellMar>
            <w:top w:w="0" w:type="dxa"/>
            <w:left w:w="108" w:type="dxa"/>
            <w:bottom w:w="0" w:type="dxa"/>
            <w:right w:w="108" w:type="dxa"/>
          </w:tblCellMar>
        </w:tblPrEx>
        <w:trPr>
          <w:trHeight w:val="288" w:hRule="atLeast"/>
        </w:trPr>
        <w:tc>
          <w:tcPr>
            <w:tcW w:w="134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Registration</w:t>
            </w:r>
          </w:p>
        </w:tc>
        <w:tc>
          <w:tcPr>
            <w:tcW w:w="84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3/15/2021</w:t>
            </w:r>
          </w:p>
        </w:tc>
        <w:tc>
          <w:tcPr>
            <w:tcW w:w="84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3/18/2021</w:t>
            </w:r>
          </w:p>
        </w:tc>
        <w:tc>
          <w:tcPr>
            <w:tcW w:w="19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Finance Department</w:t>
            </w:r>
          </w:p>
        </w:tc>
      </w:tr>
      <w:tr>
        <w:tblPrEx>
          <w:tblCellMar>
            <w:top w:w="0" w:type="dxa"/>
            <w:left w:w="108" w:type="dxa"/>
            <w:bottom w:w="0" w:type="dxa"/>
            <w:right w:w="108" w:type="dxa"/>
          </w:tblCellMar>
        </w:tblPrEx>
        <w:trPr>
          <w:trHeight w:val="288" w:hRule="atLeast"/>
        </w:trPr>
        <w:tc>
          <w:tcPr>
            <w:tcW w:w="134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Lease</w:t>
            </w:r>
          </w:p>
        </w:tc>
        <w:tc>
          <w:tcPr>
            <w:tcW w:w="84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3/25/2021</w:t>
            </w:r>
          </w:p>
        </w:tc>
        <w:tc>
          <w:tcPr>
            <w:tcW w:w="84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4/5/2021</w:t>
            </w:r>
          </w:p>
        </w:tc>
        <w:tc>
          <w:tcPr>
            <w:tcW w:w="19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HR Department</w:t>
            </w:r>
          </w:p>
        </w:tc>
      </w:tr>
      <w:tr>
        <w:tblPrEx>
          <w:tblCellMar>
            <w:top w:w="0" w:type="dxa"/>
            <w:left w:w="108" w:type="dxa"/>
            <w:bottom w:w="0" w:type="dxa"/>
            <w:right w:w="108" w:type="dxa"/>
          </w:tblCellMar>
        </w:tblPrEx>
        <w:trPr>
          <w:trHeight w:val="288" w:hRule="atLeast"/>
        </w:trPr>
        <w:tc>
          <w:tcPr>
            <w:tcW w:w="134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Trademark</w:t>
            </w:r>
          </w:p>
        </w:tc>
        <w:tc>
          <w:tcPr>
            <w:tcW w:w="84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4/20/2021</w:t>
            </w:r>
          </w:p>
        </w:tc>
        <w:tc>
          <w:tcPr>
            <w:tcW w:w="84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4/28/2021</w:t>
            </w:r>
          </w:p>
        </w:tc>
        <w:tc>
          <w:tcPr>
            <w:tcW w:w="19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Finance Department</w:t>
            </w:r>
          </w:p>
        </w:tc>
      </w:tr>
      <w:tr>
        <w:tblPrEx>
          <w:tblCellMar>
            <w:top w:w="0" w:type="dxa"/>
            <w:left w:w="108" w:type="dxa"/>
            <w:bottom w:w="0" w:type="dxa"/>
            <w:right w:w="108" w:type="dxa"/>
          </w:tblCellMar>
        </w:tblPrEx>
        <w:trPr>
          <w:trHeight w:val="288" w:hRule="atLeast"/>
        </w:trPr>
        <w:tc>
          <w:tcPr>
            <w:tcW w:w="134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Stationery</w:t>
            </w:r>
          </w:p>
        </w:tc>
        <w:tc>
          <w:tcPr>
            <w:tcW w:w="84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5/5/2021</w:t>
            </w:r>
          </w:p>
        </w:tc>
        <w:tc>
          <w:tcPr>
            <w:tcW w:w="84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5/10/2021</w:t>
            </w:r>
          </w:p>
        </w:tc>
        <w:tc>
          <w:tcPr>
            <w:tcW w:w="19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Resource Department</w:t>
            </w:r>
          </w:p>
        </w:tc>
      </w:tr>
      <w:tr>
        <w:tblPrEx>
          <w:tblCellMar>
            <w:top w:w="0" w:type="dxa"/>
            <w:left w:w="108" w:type="dxa"/>
            <w:bottom w:w="0" w:type="dxa"/>
            <w:right w:w="108" w:type="dxa"/>
          </w:tblCellMar>
        </w:tblPrEx>
        <w:trPr>
          <w:trHeight w:val="288" w:hRule="atLeast"/>
        </w:trPr>
        <w:tc>
          <w:tcPr>
            <w:tcW w:w="134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Marketing</w:t>
            </w:r>
          </w:p>
        </w:tc>
        <w:tc>
          <w:tcPr>
            <w:tcW w:w="84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5/25/2021</w:t>
            </w:r>
          </w:p>
        </w:tc>
        <w:tc>
          <w:tcPr>
            <w:tcW w:w="84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7/15/2021</w:t>
            </w:r>
          </w:p>
        </w:tc>
        <w:tc>
          <w:tcPr>
            <w:tcW w:w="19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Marketing Department</w:t>
            </w:r>
          </w:p>
        </w:tc>
      </w:tr>
      <w:tr>
        <w:tblPrEx>
          <w:tblCellMar>
            <w:top w:w="0" w:type="dxa"/>
            <w:left w:w="108" w:type="dxa"/>
            <w:bottom w:w="0" w:type="dxa"/>
            <w:right w:w="108" w:type="dxa"/>
          </w:tblCellMar>
        </w:tblPrEx>
        <w:trPr>
          <w:trHeight w:val="288" w:hRule="atLeast"/>
        </w:trPr>
        <w:tc>
          <w:tcPr>
            <w:tcW w:w="134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Sourcing of funds</w:t>
            </w:r>
          </w:p>
        </w:tc>
        <w:tc>
          <w:tcPr>
            <w:tcW w:w="84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8/1/2021</w:t>
            </w:r>
          </w:p>
        </w:tc>
        <w:tc>
          <w:tcPr>
            <w:tcW w:w="84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9/15/2021</w:t>
            </w:r>
          </w:p>
        </w:tc>
        <w:tc>
          <w:tcPr>
            <w:tcW w:w="19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Finance Department</w:t>
            </w:r>
          </w:p>
        </w:tc>
      </w:tr>
      <w:tr>
        <w:trPr>
          <w:trHeight w:val="288" w:hRule="atLeast"/>
        </w:trPr>
        <w:tc>
          <w:tcPr>
            <w:tcW w:w="134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Acquisition of assets </w:t>
            </w:r>
          </w:p>
        </w:tc>
        <w:tc>
          <w:tcPr>
            <w:tcW w:w="84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9/25/2021</w:t>
            </w:r>
          </w:p>
        </w:tc>
        <w:tc>
          <w:tcPr>
            <w:tcW w:w="84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10/15/2021</w:t>
            </w:r>
          </w:p>
        </w:tc>
        <w:tc>
          <w:tcPr>
            <w:tcW w:w="19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Resource Department</w:t>
            </w:r>
          </w:p>
        </w:tc>
      </w:tr>
      <w:tr>
        <w:tblPrEx>
          <w:tblCellMar>
            <w:top w:w="0" w:type="dxa"/>
            <w:left w:w="108" w:type="dxa"/>
            <w:bottom w:w="0" w:type="dxa"/>
            <w:right w:w="108" w:type="dxa"/>
          </w:tblCellMar>
        </w:tblPrEx>
        <w:trPr>
          <w:trHeight w:val="288" w:hRule="atLeast"/>
        </w:trPr>
        <w:tc>
          <w:tcPr>
            <w:tcW w:w="134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Equipment</w:t>
            </w:r>
          </w:p>
        </w:tc>
        <w:tc>
          <w:tcPr>
            <w:tcW w:w="84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10/25/2021</w:t>
            </w:r>
          </w:p>
        </w:tc>
        <w:tc>
          <w:tcPr>
            <w:tcW w:w="84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11/15/2021</w:t>
            </w:r>
          </w:p>
        </w:tc>
        <w:tc>
          <w:tcPr>
            <w:tcW w:w="19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Resource Department</w:t>
            </w:r>
          </w:p>
        </w:tc>
      </w:tr>
      <w:tr>
        <w:tblPrEx>
          <w:tblCellMar>
            <w:top w:w="0" w:type="dxa"/>
            <w:left w:w="108" w:type="dxa"/>
            <w:bottom w:w="0" w:type="dxa"/>
            <w:right w:w="108" w:type="dxa"/>
          </w:tblCellMar>
        </w:tblPrEx>
        <w:trPr>
          <w:trHeight w:val="288" w:hRule="atLeast"/>
        </w:trPr>
        <w:tc>
          <w:tcPr>
            <w:tcW w:w="134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Lease payment</w:t>
            </w:r>
          </w:p>
        </w:tc>
        <w:tc>
          <w:tcPr>
            <w:tcW w:w="84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11/25/2021</w:t>
            </w:r>
          </w:p>
        </w:tc>
        <w:tc>
          <w:tcPr>
            <w:tcW w:w="84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12/20/2021</w:t>
            </w:r>
          </w:p>
        </w:tc>
        <w:tc>
          <w:tcPr>
            <w:tcW w:w="19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Finance Department</w:t>
            </w:r>
          </w:p>
        </w:tc>
      </w:tr>
      <w:tr>
        <w:tblPrEx>
          <w:tblCellMar>
            <w:top w:w="0" w:type="dxa"/>
            <w:left w:w="108" w:type="dxa"/>
            <w:bottom w:w="0" w:type="dxa"/>
            <w:right w:w="108" w:type="dxa"/>
          </w:tblCellMar>
        </w:tblPrEx>
        <w:trPr>
          <w:trHeight w:val="288" w:hRule="atLeast"/>
        </w:trPr>
        <w:tc>
          <w:tcPr>
            <w:tcW w:w="134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Starting of business</w:t>
            </w:r>
          </w:p>
        </w:tc>
        <w:tc>
          <w:tcPr>
            <w:tcW w:w="84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1/1/2022</w:t>
            </w:r>
          </w:p>
        </w:tc>
        <w:tc>
          <w:tcPr>
            <w:tcW w:w="84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w:t>
            </w:r>
          </w:p>
        </w:tc>
        <w:tc>
          <w:tcPr>
            <w:tcW w:w="19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w:t>
            </w:r>
          </w:p>
        </w:tc>
      </w:tr>
    </w:tbl>
    <w:p>
      <w:pPr>
        <w:spacing w:after="0" w:line="480" w:lineRule="auto"/>
        <w:rPr>
          <w:rFonts w:ascii="Times New Roman" w:hAnsi="Times New Roman" w:cs="Times New Roman"/>
          <w:color w:val="000000" w:themeColor="text1"/>
          <w:sz w:val="24"/>
          <w:szCs w:val="24"/>
        </w:rPr>
      </w:pPr>
    </w:p>
    <w:p>
      <w:p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Gantt Chart</w:t>
      </w:r>
    </w:p>
    <w:tbl>
      <w:tblPr>
        <w:tblStyle w:val="6"/>
        <w:tblW w:w="5000" w:type="pct"/>
        <w:tblInd w:w="0" w:type="dxa"/>
        <w:tblLayout w:type="autofit"/>
        <w:tblCellMar>
          <w:top w:w="0" w:type="dxa"/>
          <w:left w:w="108" w:type="dxa"/>
          <w:bottom w:w="0" w:type="dxa"/>
          <w:right w:w="108" w:type="dxa"/>
        </w:tblCellMar>
      </w:tblPr>
      <w:tblGrid>
        <w:gridCol w:w="1418"/>
        <w:gridCol w:w="801"/>
        <w:gridCol w:w="633"/>
        <w:gridCol w:w="545"/>
        <w:gridCol w:w="497"/>
        <w:gridCol w:w="513"/>
        <w:gridCol w:w="481"/>
        <w:gridCol w:w="657"/>
        <w:gridCol w:w="881"/>
        <w:gridCol w:w="721"/>
        <w:gridCol w:w="857"/>
        <w:gridCol w:w="842"/>
        <w:gridCol w:w="730"/>
      </w:tblGrid>
      <w:tr>
        <w:tblPrEx>
          <w:tblCellMar>
            <w:top w:w="0" w:type="dxa"/>
            <w:left w:w="108" w:type="dxa"/>
            <w:bottom w:w="0" w:type="dxa"/>
            <w:right w:w="108" w:type="dxa"/>
          </w:tblCellMar>
        </w:tblPrEx>
        <w:trPr>
          <w:trHeight w:val="288" w:hRule="atLeast"/>
        </w:trPr>
        <w:tc>
          <w:tcPr>
            <w:tcW w:w="5000" w:type="pct"/>
            <w:gridSpan w:val="13"/>
            <w:tcBorders>
              <w:top w:val="single" w:color="000000" w:sz="4" w:space="0"/>
              <w:left w:val="single" w:color="000000" w:sz="4" w:space="0"/>
              <w:bottom w:val="single" w:color="000000" w:sz="4" w:space="0"/>
              <w:right w:val="single" w:color="000000" w:sz="4" w:space="0"/>
            </w:tcBorders>
            <w:shd w:val="clear" w:color="auto" w:fill="4F81BD" w:themeFill="accent1"/>
            <w:noWrap/>
            <w:vAlign w:val="bottom"/>
          </w:tcPr>
          <w:p>
            <w:pPr>
              <w:spacing w:after="0" w:line="240" w:lineRule="auto"/>
              <w:jc w:val="center"/>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Gantt Chart</w:t>
            </w:r>
          </w:p>
        </w:tc>
      </w:tr>
      <w:tr>
        <w:tblPrEx>
          <w:tblCellMar>
            <w:top w:w="0" w:type="dxa"/>
            <w:left w:w="108" w:type="dxa"/>
            <w:bottom w:w="0" w:type="dxa"/>
            <w:right w:w="108" w:type="dxa"/>
          </w:tblCellMar>
        </w:tblPrEx>
        <w:trPr>
          <w:trHeight w:val="288" w:hRule="atLeast"/>
        </w:trPr>
        <w:tc>
          <w:tcPr>
            <w:tcW w:w="805" w:type="pct"/>
            <w:tcBorders>
              <w:top w:val="single" w:color="000000" w:sz="4" w:space="0"/>
              <w:left w:val="single" w:color="000000" w:sz="4" w:space="0"/>
              <w:bottom w:val="single" w:color="000000" w:sz="4" w:space="0"/>
              <w:right w:val="single" w:color="000000" w:sz="4" w:space="0"/>
            </w:tcBorders>
            <w:shd w:val="clear" w:color="auto" w:fill="DCE6F2" w:themeFill="accent1" w:themeFillTint="32"/>
            <w:noWrap/>
            <w:vAlign w:val="bottom"/>
          </w:tcPr>
          <w:p>
            <w:pPr>
              <w:spacing w:after="0" w:line="240" w:lineRule="auto"/>
              <w:rPr>
                <w:rFonts w:ascii="Times New Roman" w:hAnsi="Times New Roman" w:cs="Times New Roman"/>
                <w:b/>
                <w:bCs/>
                <w:color w:val="000000" w:themeColor="text1"/>
                <w:sz w:val="24"/>
                <w:szCs w:val="24"/>
              </w:rPr>
            </w:pPr>
          </w:p>
        </w:tc>
        <w:tc>
          <w:tcPr>
            <w:tcW w:w="408" w:type="pct"/>
            <w:tcBorders>
              <w:top w:val="single" w:color="000000" w:sz="4" w:space="0"/>
              <w:left w:val="single" w:color="000000" w:sz="4" w:space="0"/>
              <w:bottom w:val="single" w:color="000000" w:sz="4" w:space="0"/>
              <w:right w:val="single" w:color="000000" w:sz="4" w:space="0"/>
            </w:tcBorders>
            <w:shd w:val="clear" w:color="auto" w:fill="DCE6F2" w:themeFill="accent1" w:themeFillTint="32"/>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February</w:t>
            </w:r>
          </w:p>
        </w:tc>
        <w:tc>
          <w:tcPr>
            <w:tcW w:w="318" w:type="pct"/>
            <w:tcBorders>
              <w:top w:val="single" w:color="000000" w:sz="4" w:space="0"/>
              <w:left w:val="single" w:color="000000" w:sz="4" w:space="0"/>
              <w:bottom w:val="single" w:color="000000" w:sz="4" w:space="0"/>
              <w:right w:val="single" w:color="000000" w:sz="4" w:space="0"/>
            </w:tcBorders>
            <w:shd w:val="clear" w:color="auto" w:fill="DCE6F2" w:themeFill="accent1" w:themeFillTint="32"/>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March</w:t>
            </w:r>
          </w:p>
        </w:tc>
        <w:tc>
          <w:tcPr>
            <w:tcW w:w="258" w:type="pct"/>
            <w:tcBorders>
              <w:top w:val="single" w:color="000000" w:sz="4" w:space="0"/>
              <w:left w:val="single" w:color="000000" w:sz="4" w:space="0"/>
              <w:bottom w:val="single" w:color="000000" w:sz="4" w:space="0"/>
              <w:right w:val="single" w:color="000000" w:sz="4" w:space="0"/>
            </w:tcBorders>
            <w:shd w:val="clear" w:color="auto" w:fill="DCE6F2" w:themeFill="accent1" w:themeFillTint="32"/>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April</w:t>
            </w:r>
          </w:p>
        </w:tc>
        <w:tc>
          <w:tcPr>
            <w:tcW w:w="245" w:type="pct"/>
            <w:tcBorders>
              <w:top w:val="single" w:color="000000" w:sz="4" w:space="0"/>
              <w:left w:val="single" w:color="000000" w:sz="4" w:space="0"/>
              <w:bottom w:val="single" w:color="000000" w:sz="4" w:space="0"/>
              <w:right w:val="single" w:color="000000" w:sz="4" w:space="0"/>
            </w:tcBorders>
            <w:shd w:val="clear" w:color="auto" w:fill="DCE6F2" w:themeFill="accent1" w:themeFillTint="32"/>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May</w:t>
            </w:r>
          </w:p>
        </w:tc>
        <w:tc>
          <w:tcPr>
            <w:tcW w:w="251" w:type="pct"/>
            <w:tcBorders>
              <w:top w:val="single" w:color="000000" w:sz="4" w:space="0"/>
              <w:left w:val="single" w:color="000000" w:sz="4" w:space="0"/>
              <w:bottom w:val="single" w:color="000000" w:sz="4" w:space="0"/>
              <w:right w:val="single" w:color="000000" w:sz="4" w:space="0"/>
            </w:tcBorders>
            <w:shd w:val="clear" w:color="auto" w:fill="DCE6F2" w:themeFill="accent1" w:themeFillTint="32"/>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June</w:t>
            </w:r>
          </w:p>
        </w:tc>
        <w:tc>
          <w:tcPr>
            <w:tcW w:w="223" w:type="pct"/>
            <w:tcBorders>
              <w:top w:val="single" w:color="000000" w:sz="4" w:space="0"/>
              <w:left w:val="single" w:color="000000" w:sz="4" w:space="0"/>
              <w:bottom w:val="single" w:color="000000" w:sz="4" w:space="0"/>
              <w:right w:val="single" w:color="000000" w:sz="4" w:space="0"/>
            </w:tcBorders>
            <w:shd w:val="clear" w:color="auto" w:fill="DCE6F2" w:themeFill="accent1" w:themeFillTint="32"/>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July</w:t>
            </w:r>
          </w:p>
        </w:tc>
        <w:tc>
          <w:tcPr>
            <w:tcW w:w="337" w:type="pct"/>
            <w:tcBorders>
              <w:top w:val="single" w:color="000000" w:sz="4" w:space="0"/>
              <w:left w:val="single" w:color="000000" w:sz="4" w:space="0"/>
              <w:bottom w:val="single" w:color="000000" w:sz="4" w:space="0"/>
              <w:right w:val="single" w:color="000000" w:sz="4" w:space="0"/>
            </w:tcBorders>
            <w:shd w:val="clear" w:color="auto" w:fill="DCE6F2" w:themeFill="accent1" w:themeFillTint="32"/>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August</w:t>
            </w:r>
          </w:p>
        </w:tc>
        <w:tc>
          <w:tcPr>
            <w:tcW w:w="482" w:type="pct"/>
            <w:tcBorders>
              <w:top w:val="single" w:color="000000" w:sz="4" w:space="0"/>
              <w:left w:val="single" w:color="000000" w:sz="4" w:space="0"/>
              <w:bottom w:val="single" w:color="000000" w:sz="4" w:space="0"/>
              <w:right w:val="single" w:color="000000" w:sz="4" w:space="0"/>
            </w:tcBorders>
            <w:shd w:val="clear" w:color="auto" w:fill="DCE6F2" w:themeFill="accent1" w:themeFillTint="32"/>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September</w:t>
            </w:r>
          </w:p>
        </w:tc>
        <w:tc>
          <w:tcPr>
            <w:tcW w:w="379" w:type="pct"/>
            <w:tcBorders>
              <w:top w:val="single" w:color="000000" w:sz="4" w:space="0"/>
              <w:left w:val="single" w:color="000000" w:sz="4" w:space="0"/>
              <w:bottom w:val="single" w:color="000000" w:sz="4" w:space="0"/>
              <w:right w:val="single" w:color="000000" w:sz="4" w:space="0"/>
            </w:tcBorders>
            <w:shd w:val="clear" w:color="auto" w:fill="DCE6F2" w:themeFill="accent1" w:themeFillTint="32"/>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October</w:t>
            </w:r>
          </w:p>
        </w:tc>
        <w:tc>
          <w:tcPr>
            <w:tcW w:w="466" w:type="pct"/>
            <w:tcBorders>
              <w:top w:val="single" w:color="000000" w:sz="4" w:space="0"/>
              <w:left w:val="single" w:color="000000" w:sz="4" w:space="0"/>
              <w:bottom w:val="single" w:color="000000" w:sz="4" w:space="0"/>
              <w:right w:val="single" w:color="000000" w:sz="4" w:space="0"/>
            </w:tcBorders>
            <w:shd w:val="clear" w:color="auto" w:fill="DCE6F2" w:themeFill="accent1" w:themeFillTint="32"/>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November</w:t>
            </w:r>
          </w:p>
        </w:tc>
        <w:tc>
          <w:tcPr>
            <w:tcW w:w="455" w:type="pct"/>
            <w:tcBorders>
              <w:top w:val="single" w:color="000000" w:sz="4" w:space="0"/>
              <w:left w:val="single" w:color="000000" w:sz="4" w:space="0"/>
              <w:bottom w:val="single" w:color="000000" w:sz="4" w:space="0"/>
              <w:right w:val="single" w:color="000000" w:sz="4" w:space="0"/>
            </w:tcBorders>
            <w:shd w:val="clear" w:color="auto" w:fill="DCE6F2" w:themeFill="accent1" w:themeFillTint="32"/>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December</w:t>
            </w:r>
          </w:p>
        </w:tc>
        <w:tc>
          <w:tcPr>
            <w:tcW w:w="368" w:type="pct"/>
            <w:tcBorders>
              <w:top w:val="single" w:color="000000" w:sz="4" w:space="0"/>
              <w:left w:val="single" w:color="000000" w:sz="4" w:space="0"/>
              <w:bottom w:val="single" w:color="000000" w:sz="4" w:space="0"/>
              <w:right w:val="single" w:color="000000" w:sz="4" w:space="0"/>
            </w:tcBorders>
            <w:shd w:val="clear" w:color="auto" w:fill="DCE6F2" w:themeFill="accent1" w:themeFillTint="32"/>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January</w:t>
            </w:r>
          </w:p>
        </w:tc>
      </w:tr>
      <w:tr>
        <w:tblPrEx>
          <w:tblCellMar>
            <w:top w:w="0" w:type="dxa"/>
            <w:left w:w="108" w:type="dxa"/>
            <w:bottom w:w="0" w:type="dxa"/>
            <w:right w:w="108" w:type="dxa"/>
          </w:tblCellMar>
        </w:tblPrEx>
        <w:trPr>
          <w:trHeight w:val="288" w:hRule="atLeast"/>
        </w:trPr>
        <w:tc>
          <w:tcPr>
            <w:tcW w:w="80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Business plan</w:t>
            </w:r>
          </w:p>
        </w:tc>
        <w:tc>
          <w:tcPr>
            <w:tcW w:w="408" w:type="pct"/>
            <w:tcBorders>
              <w:top w:val="single" w:color="000000" w:sz="4" w:space="0"/>
              <w:left w:val="single" w:color="000000" w:sz="4" w:space="0"/>
              <w:bottom w:val="single" w:color="000000" w:sz="4" w:space="0"/>
              <w:right w:val="single" w:color="000000" w:sz="4" w:space="0"/>
            </w:tcBorders>
            <w:shd w:val="clear" w:color="auto" w:fill="FFFF00"/>
            <w:noWrap/>
            <w:vAlign w:val="bottom"/>
          </w:tcPr>
          <w:p>
            <w:pPr>
              <w:spacing w:after="0" w:line="240" w:lineRule="auto"/>
              <w:rPr>
                <w:rFonts w:ascii="Times New Roman" w:hAnsi="Times New Roman" w:cs="Times New Roman"/>
                <w:color w:val="000000" w:themeColor="text1"/>
                <w:sz w:val="24"/>
                <w:szCs w:val="24"/>
              </w:rPr>
            </w:pPr>
          </w:p>
        </w:tc>
        <w:tc>
          <w:tcPr>
            <w:tcW w:w="31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5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4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5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2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33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482"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37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466"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4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r>
      <w:tr>
        <w:tblPrEx>
          <w:tblCellMar>
            <w:top w:w="0" w:type="dxa"/>
            <w:left w:w="108" w:type="dxa"/>
            <w:bottom w:w="0" w:type="dxa"/>
            <w:right w:w="108" w:type="dxa"/>
          </w:tblCellMar>
        </w:tblPrEx>
        <w:trPr>
          <w:trHeight w:val="288" w:hRule="atLeast"/>
        </w:trPr>
        <w:tc>
          <w:tcPr>
            <w:tcW w:w="80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Registration</w:t>
            </w:r>
          </w:p>
        </w:tc>
        <w:tc>
          <w:tcPr>
            <w:tcW w:w="40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318" w:type="pct"/>
            <w:tcBorders>
              <w:top w:val="single" w:color="000000" w:sz="4" w:space="0"/>
              <w:left w:val="single" w:color="000000" w:sz="4" w:space="0"/>
              <w:bottom w:val="single" w:color="000000" w:sz="4" w:space="0"/>
              <w:right w:val="single" w:color="000000" w:sz="4" w:space="0"/>
            </w:tcBorders>
            <w:shd w:val="clear" w:color="auto" w:fill="EEECE1"/>
            <w:noWrap/>
            <w:vAlign w:val="bottom"/>
          </w:tcPr>
          <w:p>
            <w:pPr>
              <w:spacing w:after="0" w:line="240" w:lineRule="auto"/>
              <w:rPr>
                <w:rFonts w:ascii="Times New Roman" w:hAnsi="Times New Roman" w:cs="Times New Roman"/>
                <w:color w:val="000000" w:themeColor="text1"/>
                <w:sz w:val="24"/>
                <w:szCs w:val="24"/>
              </w:rPr>
            </w:pPr>
          </w:p>
        </w:tc>
        <w:tc>
          <w:tcPr>
            <w:tcW w:w="25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4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5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2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33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482"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37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466"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4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r>
      <w:tr>
        <w:tblPrEx>
          <w:tblCellMar>
            <w:top w:w="0" w:type="dxa"/>
            <w:left w:w="108" w:type="dxa"/>
            <w:bottom w:w="0" w:type="dxa"/>
            <w:right w:w="108" w:type="dxa"/>
          </w:tblCellMar>
        </w:tblPrEx>
        <w:trPr>
          <w:trHeight w:val="288" w:hRule="atLeast"/>
        </w:trPr>
        <w:tc>
          <w:tcPr>
            <w:tcW w:w="80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Lease</w:t>
            </w:r>
          </w:p>
        </w:tc>
        <w:tc>
          <w:tcPr>
            <w:tcW w:w="40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318" w:type="pct"/>
            <w:tcBorders>
              <w:top w:val="single" w:color="000000" w:sz="4" w:space="0"/>
              <w:left w:val="single" w:color="000000" w:sz="4" w:space="0"/>
              <w:bottom w:val="single" w:color="000000" w:sz="4" w:space="0"/>
              <w:right w:val="single" w:color="000000" w:sz="4" w:space="0"/>
            </w:tcBorders>
            <w:shd w:val="clear" w:color="auto" w:fill="C4BD97"/>
            <w:noWrap/>
            <w:vAlign w:val="bottom"/>
          </w:tcPr>
          <w:p>
            <w:pPr>
              <w:spacing w:after="0" w:line="240" w:lineRule="auto"/>
              <w:rPr>
                <w:rFonts w:ascii="Times New Roman" w:hAnsi="Times New Roman" w:cs="Times New Roman"/>
                <w:color w:val="000000" w:themeColor="text1"/>
                <w:sz w:val="24"/>
                <w:szCs w:val="24"/>
              </w:rPr>
            </w:pPr>
          </w:p>
        </w:tc>
        <w:tc>
          <w:tcPr>
            <w:tcW w:w="258" w:type="pct"/>
            <w:tcBorders>
              <w:top w:val="single" w:color="000000" w:sz="4" w:space="0"/>
              <w:left w:val="single" w:color="000000" w:sz="4" w:space="0"/>
              <w:bottom w:val="single" w:color="000000" w:sz="4" w:space="0"/>
              <w:right w:val="single" w:color="000000" w:sz="4" w:space="0"/>
            </w:tcBorders>
            <w:shd w:val="clear" w:color="auto" w:fill="EBF1DE"/>
            <w:noWrap/>
            <w:vAlign w:val="bottom"/>
          </w:tcPr>
          <w:p>
            <w:pPr>
              <w:spacing w:after="0" w:line="240" w:lineRule="auto"/>
              <w:rPr>
                <w:rFonts w:ascii="Times New Roman" w:hAnsi="Times New Roman" w:cs="Times New Roman"/>
                <w:color w:val="000000" w:themeColor="text1"/>
                <w:sz w:val="24"/>
                <w:szCs w:val="24"/>
              </w:rPr>
            </w:pPr>
          </w:p>
        </w:tc>
        <w:tc>
          <w:tcPr>
            <w:tcW w:w="24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5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2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33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482"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37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466"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4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r>
      <w:tr>
        <w:tblPrEx>
          <w:tblCellMar>
            <w:top w:w="0" w:type="dxa"/>
            <w:left w:w="108" w:type="dxa"/>
            <w:bottom w:w="0" w:type="dxa"/>
            <w:right w:w="108" w:type="dxa"/>
          </w:tblCellMar>
        </w:tblPrEx>
        <w:trPr>
          <w:trHeight w:val="288" w:hRule="atLeast"/>
        </w:trPr>
        <w:tc>
          <w:tcPr>
            <w:tcW w:w="80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Trademark</w:t>
            </w:r>
          </w:p>
        </w:tc>
        <w:tc>
          <w:tcPr>
            <w:tcW w:w="40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31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58" w:type="pct"/>
            <w:tcBorders>
              <w:top w:val="single" w:color="000000" w:sz="4" w:space="0"/>
              <w:left w:val="single" w:color="000000" w:sz="4" w:space="0"/>
              <w:bottom w:val="single" w:color="000000" w:sz="4" w:space="0"/>
              <w:right w:val="single" w:color="000000" w:sz="4" w:space="0"/>
            </w:tcBorders>
            <w:shd w:val="clear" w:color="auto" w:fill="C0504D"/>
            <w:noWrap/>
            <w:vAlign w:val="bottom"/>
          </w:tcPr>
          <w:p>
            <w:pPr>
              <w:spacing w:after="0" w:line="240" w:lineRule="auto"/>
              <w:rPr>
                <w:rFonts w:ascii="Times New Roman" w:hAnsi="Times New Roman" w:cs="Times New Roman"/>
                <w:color w:val="000000" w:themeColor="text1"/>
                <w:sz w:val="24"/>
                <w:szCs w:val="24"/>
              </w:rPr>
            </w:pPr>
          </w:p>
        </w:tc>
        <w:tc>
          <w:tcPr>
            <w:tcW w:w="24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5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2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33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482"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37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466"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4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r>
      <w:tr>
        <w:tblPrEx>
          <w:tblCellMar>
            <w:top w:w="0" w:type="dxa"/>
            <w:left w:w="108" w:type="dxa"/>
            <w:bottom w:w="0" w:type="dxa"/>
            <w:right w:w="108" w:type="dxa"/>
          </w:tblCellMar>
        </w:tblPrEx>
        <w:trPr>
          <w:trHeight w:val="288" w:hRule="atLeast"/>
        </w:trPr>
        <w:tc>
          <w:tcPr>
            <w:tcW w:w="80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Stationery</w:t>
            </w:r>
          </w:p>
        </w:tc>
        <w:tc>
          <w:tcPr>
            <w:tcW w:w="40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31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5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45" w:type="pct"/>
            <w:tcBorders>
              <w:top w:val="single" w:color="000000" w:sz="4" w:space="0"/>
              <w:left w:val="single" w:color="000000" w:sz="4" w:space="0"/>
              <w:bottom w:val="single" w:color="000000" w:sz="4" w:space="0"/>
              <w:right w:val="single" w:color="000000" w:sz="4" w:space="0"/>
            </w:tcBorders>
            <w:shd w:val="clear" w:color="auto" w:fill="8064A2"/>
            <w:noWrap/>
            <w:vAlign w:val="bottom"/>
          </w:tcPr>
          <w:p>
            <w:pPr>
              <w:spacing w:after="0" w:line="240" w:lineRule="auto"/>
              <w:rPr>
                <w:rFonts w:ascii="Times New Roman" w:hAnsi="Times New Roman" w:cs="Times New Roman"/>
                <w:color w:val="000000" w:themeColor="text1"/>
                <w:sz w:val="24"/>
                <w:szCs w:val="24"/>
              </w:rPr>
            </w:pPr>
          </w:p>
        </w:tc>
        <w:tc>
          <w:tcPr>
            <w:tcW w:w="25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2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33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482"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37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466"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4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r>
      <w:tr>
        <w:tblPrEx>
          <w:tblCellMar>
            <w:top w:w="0" w:type="dxa"/>
            <w:left w:w="108" w:type="dxa"/>
            <w:bottom w:w="0" w:type="dxa"/>
            <w:right w:w="108" w:type="dxa"/>
          </w:tblCellMar>
        </w:tblPrEx>
        <w:trPr>
          <w:trHeight w:val="288" w:hRule="atLeast"/>
        </w:trPr>
        <w:tc>
          <w:tcPr>
            <w:tcW w:w="80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Marketing</w:t>
            </w:r>
          </w:p>
        </w:tc>
        <w:tc>
          <w:tcPr>
            <w:tcW w:w="40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31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5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45" w:type="pct"/>
            <w:tcBorders>
              <w:top w:val="single" w:color="000000" w:sz="4" w:space="0"/>
              <w:left w:val="single" w:color="000000" w:sz="4" w:space="0"/>
              <w:bottom w:val="single" w:color="000000" w:sz="4" w:space="0"/>
              <w:right w:val="single" w:color="000000" w:sz="4" w:space="0"/>
            </w:tcBorders>
            <w:shd w:val="clear" w:color="auto" w:fill="F79646"/>
            <w:noWrap/>
            <w:vAlign w:val="bottom"/>
          </w:tcPr>
          <w:p>
            <w:pPr>
              <w:spacing w:after="0" w:line="240" w:lineRule="auto"/>
              <w:rPr>
                <w:rFonts w:ascii="Times New Roman" w:hAnsi="Times New Roman" w:cs="Times New Roman"/>
                <w:color w:val="000000" w:themeColor="text1"/>
                <w:sz w:val="24"/>
                <w:szCs w:val="24"/>
              </w:rPr>
            </w:pPr>
          </w:p>
        </w:tc>
        <w:tc>
          <w:tcPr>
            <w:tcW w:w="251" w:type="pct"/>
            <w:tcBorders>
              <w:top w:val="single" w:color="000000" w:sz="4" w:space="0"/>
              <w:left w:val="single" w:color="000000" w:sz="4" w:space="0"/>
              <w:bottom w:val="single" w:color="000000" w:sz="4" w:space="0"/>
              <w:right w:val="single" w:color="000000" w:sz="4" w:space="0"/>
            </w:tcBorders>
            <w:shd w:val="clear" w:color="auto" w:fill="F79646"/>
            <w:noWrap/>
            <w:vAlign w:val="bottom"/>
          </w:tcPr>
          <w:p>
            <w:pPr>
              <w:spacing w:after="0" w:line="240" w:lineRule="auto"/>
              <w:rPr>
                <w:rFonts w:ascii="Times New Roman" w:hAnsi="Times New Roman" w:cs="Times New Roman"/>
                <w:color w:val="000000" w:themeColor="text1"/>
                <w:sz w:val="24"/>
                <w:szCs w:val="24"/>
              </w:rPr>
            </w:pPr>
          </w:p>
        </w:tc>
        <w:tc>
          <w:tcPr>
            <w:tcW w:w="223" w:type="pct"/>
            <w:tcBorders>
              <w:top w:val="single" w:color="000000" w:sz="4" w:space="0"/>
              <w:left w:val="single" w:color="000000" w:sz="4" w:space="0"/>
              <w:bottom w:val="single" w:color="000000" w:sz="4" w:space="0"/>
              <w:right w:val="single" w:color="000000" w:sz="4" w:space="0"/>
            </w:tcBorders>
            <w:shd w:val="clear" w:color="auto" w:fill="F79646"/>
            <w:noWrap/>
            <w:vAlign w:val="bottom"/>
          </w:tcPr>
          <w:p>
            <w:pPr>
              <w:spacing w:after="0" w:line="240" w:lineRule="auto"/>
              <w:rPr>
                <w:rFonts w:ascii="Times New Roman" w:hAnsi="Times New Roman" w:cs="Times New Roman"/>
                <w:color w:val="000000" w:themeColor="text1"/>
                <w:sz w:val="24"/>
                <w:szCs w:val="24"/>
              </w:rPr>
            </w:pPr>
          </w:p>
        </w:tc>
        <w:tc>
          <w:tcPr>
            <w:tcW w:w="33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482"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37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466"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4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r>
      <w:tr>
        <w:tblPrEx>
          <w:tblCellMar>
            <w:top w:w="0" w:type="dxa"/>
            <w:left w:w="108" w:type="dxa"/>
            <w:bottom w:w="0" w:type="dxa"/>
            <w:right w:w="108" w:type="dxa"/>
          </w:tblCellMar>
        </w:tblPrEx>
        <w:trPr>
          <w:trHeight w:val="288" w:hRule="atLeast"/>
        </w:trPr>
        <w:tc>
          <w:tcPr>
            <w:tcW w:w="80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Sourcing of funds</w:t>
            </w:r>
          </w:p>
        </w:tc>
        <w:tc>
          <w:tcPr>
            <w:tcW w:w="40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31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5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4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5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2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337" w:type="pct"/>
            <w:tcBorders>
              <w:top w:val="single" w:color="000000" w:sz="4" w:space="0"/>
              <w:left w:val="single" w:color="000000" w:sz="4" w:space="0"/>
              <w:bottom w:val="single" w:color="000000" w:sz="4" w:space="0"/>
              <w:right w:val="single" w:color="000000" w:sz="4" w:space="0"/>
            </w:tcBorders>
            <w:shd w:val="clear" w:color="auto" w:fill="C5D9F1"/>
            <w:noWrap/>
            <w:vAlign w:val="bottom"/>
          </w:tcPr>
          <w:p>
            <w:pPr>
              <w:spacing w:after="0" w:line="240" w:lineRule="auto"/>
              <w:rPr>
                <w:rFonts w:ascii="Times New Roman" w:hAnsi="Times New Roman" w:cs="Times New Roman"/>
                <w:color w:val="000000" w:themeColor="text1"/>
                <w:sz w:val="24"/>
                <w:szCs w:val="24"/>
              </w:rPr>
            </w:pPr>
          </w:p>
        </w:tc>
        <w:tc>
          <w:tcPr>
            <w:tcW w:w="482" w:type="pct"/>
            <w:tcBorders>
              <w:top w:val="single" w:color="000000" w:sz="4" w:space="0"/>
              <w:left w:val="single" w:color="000000" w:sz="4" w:space="0"/>
              <w:bottom w:val="single" w:color="000000" w:sz="4" w:space="0"/>
              <w:right w:val="single" w:color="000000" w:sz="4" w:space="0"/>
            </w:tcBorders>
            <w:shd w:val="clear" w:color="auto" w:fill="C5D9F1"/>
            <w:noWrap/>
            <w:vAlign w:val="bottom"/>
          </w:tcPr>
          <w:p>
            <w:pPr>
              <w:spacing w:after="0" w:line="240" w:lineRule="auto"/>
              <w:rPr>
                <w:rFonts w:ascii="Times New Roman" w:hAnsi="Times New Roman" w:cs="Times New Roman"/>
                <w:color w:val="000000" w:themeColor="text1"/>
                <w:sz w:val="24"/>
                <w:szCs w:val="24"/>
              </w:rPr>
            </w:pPr>
          </w:p>
        </w:tc>
        <w:tc>
          <w:tcPr>
            <w:tcW w:w="37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466"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4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r>
      <w:tr>
        <w:tblPrEx>
          <w:tblCellMar>
            <w:top w:w="0" w:type="dxa"/>
            <w:left w:w="108" w:type="dxa"/>
            <w:bottom w:w="0" w:type="dxa"/>
            <w:right w:w="108" w:type="dxa"/>
          </w:tblCellMar>
        </w:tblPrEx>
        <w:trPr>
          <w:trHeight w:val="288" w:hRule="atLeast"/>
        </w:trPr>
        <w:tc>
          <w:tcPr>
            <w:tcW w:w="80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Acquisition of assets </w:t>
            </w:r>
          </w:p>
        </w:tc>
        <w:tc>
          <w:tcPr>
            <w:tcW w:w="40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31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5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4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5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2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33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482" w:type="pct"/>
            <w:tcBorders>
              <w:top w:val="single" w:color="000000" w:sz="4" w:space="0"/>
              <w:left w:val="single" w:color="000000" w:sz="4" w:space="0"/>
              <w:bottom w:val="single" w:color="000000" w:sz="4" w:space="0"/>
              <w:right w:val="single" w:color="000000" w:sz="4" w:space="0"/>
            </w:tcBorders>
            <w:shd w:val="clear" w:color="auto" w:fill="D8E4BC"/>
            <w:noWrap/>
            <w:vAlign w:val="bottom"/>
          </w:tcPr>
          <w:p>
            <w:pPr>
              <w:spacing w:after="0" w:line="240" w:lineRule="auto"/>
              <w:rPr>
                <w:rFonts w:ascii="Times New Roman" w:hAnsi="Times New Roman" w:cs="Times New Roman"/>
                <w:color w:val="000000" w:themeColor="text1"/>
                <w:sz w:val="24"/>
                <w:szCs w:val="24"/>
              </w:rPr>
            </w:pPr>
          </w:p>
        </w:tc>
        <w:tc>
          <w:tcPr>
            <w:tcW w:w="379" w:type="pct"/>
            <w:tcBorders>
              <w:top w:val="single" w:color="000000" w:sz="4" w:space="0"/>
              <w:left w:val="single" w:color="000000" w:sz="4" w:space="0"/>
              <w:bottom w:val="single" w:color="000000" w:sz="4" w:space="0"/>
              <w:right w:val="single" w:color="000000" w:sz="4" w:space="0"/>
            </w:tcBorders>
            <w:shd w:val="clear" w:color="auto" w:fill="D8E4BC"/>
            <w:noWrap/>
            <w:vAlign w:val="bottom"/>
          </w:tcPr>
          <w:p>
            <w:pPr>
              <w:spacing w:after="0" w:line="240" w:lineRule="auto"/>
              <w:rPr>
                <w:rFonts w:ascii="Times New Roman" w:hAnsi="Times New Roman" w:cs="Times New Roman"/>
                <w:color w:val="000000" w:themeColor="text1"/>
                <w:sz w:val="24"/>
                <w:szCs w:val="24"/>
              </w:rPr>
            </w:pPr>
          </w:p>
        </w:tc>
        <w:tc>
          <w:tcPr>
            <w:tcW w:w="466"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4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r>
      <w:tr>
        <w:tblPrEx>
          <w:tblCellMar>
            <w:top w:w="0" w:type="dxa"/>
            <w:left w:w="108" w:type="dxa"/>
            <w:bottom w:w="0" w:type="dxa"/>
            <w:right w:w="108" w:type="dxa"/>
          </w:tblCellMar>
        </w:tblPrEx>
        <w:trPr>
          <w:trHeight w:val="288" w:hRule="atLeast"/>
        </w:trPr>
        <w:tc>
          <w:tcPr>
            <w:tcW w:w="80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Equipment</w:t>
            </w:r>
          </w:p>
        </w:tc>
        <w:tc>
          <w:tcPr>
            <w:tcW w:w="40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31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5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4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5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2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33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482"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379" w:type="pct"/>
            <w:tcBorders>
              <w:top w:val="single" w:color="000000" w:sz="4" w:space="0"/>
              <w:left w:val="single" w:color="000000" w:sz="4" w:space="0"/>
              <w:bottom w:val="single" w:color="000000" w:sz="4" w:space="0"/>
              <w:right w:val="single" w:color="000000" w:sz="4" w:space="0"/>
            </w:tcBorders>
            <w:shd w:val="clear" w:color="auto" w:fill="FFC000"/>
            <w:noWrap/>
            <w:vAlign w:val="bottom"/>
          </w:tcPr>
          <w:p>
            <w:pPr>
              <w:spacing w:after="0" w:line="240" w:lineRule="auto"/>
              <w:rPr>
                <w:rFonts w:ascii="Times New Roman" w:hAnsi="Times New Roman" w:cs="Times New Roman"/>
                <w:color w:val="000000" w:themeColor="text1"/>
                <w:sz w:val="24"/>
                <w:szCs w:val="24"/>
              </w:rPr>
            </w:pPr>
          </w:p>
        </w:tc>
        <w:tc>
          <w:tcPr>
            <w:tcW w:w="466" w:type="pct"/>
            <w:tcBorders>
              <w:top w:val="single" w:color="000000" w:sz="4" w:space="0"/>
              <w:left w:val="single" w:color="000000" w:sz="4" w:space="0"/>
              <w:bottom w:val="single" w:color="000000" w:sz="4" w:space="0"/>
              <w:right w:val="single" w:color="000000" w:sz="4" w:space="0"/>
            </w:tcBorders>
            <w:shd w:val="clear" w:color="auto" w:fill="FFC000"/>
            <w:noWrap/>
            <w:vAlign w:val="bottom"/>
          </w:tcPr>
          <w:p>
            <w:pPr>
              <w:spacing w:after="0" w:line="240" w:lineRule="auto"/>
              <w:rPr>
                <w:rFonts w:ascii="Times New Roman" w:hAnsi="Times New Roman" w:cs="Times New Roman"/>
                <w:color w:val="000000" w:themeColor="text1"/>
                <w:sz w:val="24"/>
                <w:szCs w:val="24"/>
              </w:rPr>
            </w:pPr>
          </w:p>
        </w:tc>
        <w:tc>
          <w:tcPr>
            <w:tcW w:w="4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r>
      <w:tr>
        <w:tblPrEx>
          <w:tblCellMar>
            <w:top w:w="0" w:type="dxa"/>
            <w:left w:w="108" w:type="dxa"/>
            <w:bottom w:w="0" w:type="dxa"/>
            <w:right w:w="108" w:type="dxa"/>
          </w:tblCellMar>
        </w:tblPrEx>
        <w:trPr>
          <w:trHeight w:val="288" w:hRule="atLeast"/>
        </w:trPr>
        <w:tc>
          <w:tcPr>
            <w:tcW w:w="80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Lease payment</w:t>
            </w:r>
          </w:p>
        </w:tc>
        <w:tc>
          <w:tcPr>
            <w:tcW w:w="40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31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5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4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5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2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33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482"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37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466" w:type="pct"/>
            <w:tcBorders>
              <w:top w:val="single" w:color="000000" w:sz="4" w:space="0"/>
              <w:left w:val="single" w:color="000000" w:sz="4" w:space="0"/>
              <w:bottom w:val="single" w:color="000000" w:sz="4" w:space="0"/>
              <w:right w:val="single" w:color="000000" w:sz="4" w:space="0"/>
            </w:tcBorders>
            <w:shd w:val="clear" w:color="auto" w:fill="7030A0"/>
            <w:noWrap/>
            <w:vAlign w:val="bottom"/>
          </w:tcPr>
          <w:p>
            <w:pPr>
              <w:spacing w:after="0" w:line="240" w:lineRule="auto"/>
              <w:rPr>
                <w:rFonts w:ascii="Times New Roman" w:hAnsi="Times New Roman" w:cs="Times New Roman"/>
                <w:color w:val="000000" w:themeColor="text1"/>
                <w:sz w:val="24"/>
                <w:szCs w:val="24"/>
              </w:rPr>
            </w:pPr>
          </w:p>
        </w:tc>
        <w:tc>
          <w:tcPr>
            <w:tcW w:w="455" w:type="pct"/>
            <w:tcBorders>
              <w:top w:val="single" w:color="000000" w:sz="4" w:space="0"/>
              <w:left w:val="single" w:color="000000" w:sz="4" w:space="0"/>
              <w:bottom w:val="single" w:color="000000" w:sz="4" w:space="0"/>
              <w:right w:val="single" w:color="000000" w:sz="4" w:space="0"/>
            </w:tcBorders>
            <w:shd w:val="clear" w:color="auto" w:fill="7030A0"/>
            <w:noWrap/>
            <w:vAlign w:val="bottom"/>
          </w:tcPr>
          <w:p>
            <w:pPr>
              <w:spacing w:after="0" w:line="240" w:lineRule="auto"/>
              <w:rPr>
                <w:rFonts w:ascii="Times New Roman" w:hAnsi="Times New Roman" w:cs="Times New Roman"/>
                <w:color w:val="000000" w:themeColor="text1"/>
                <w:sz w:val="24"/>
                <w:szCs w:val="24"/>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r>
      <w:tr>
        <w:tblPrEx>
          <w:tblCellMar>
            <w:top w:w="0" w:type="dxa"/>
            <w:left w:w="108" w:type="dxa"/>
            <w:bottom w:w="0" w:type="dxa"/>
            <w:right w:w="108" w:type="dxa"/>
          </w:tblCellMar>
        </w:tblPrEx>
        <w:trPr>
          <w:trHeight w:val="288" w:hRule="atLeast"/>
        </w:trPr>
        <w:tc>
          <w:tcPr>
            <w:tcW w:w="80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Starting of business</w:t>
            </w:r>
          </w:p>
        </w:tc>
        <w:tc>
          <w:tcPr>
            <w:tcW w:w="40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31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5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4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5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2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33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482"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37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466"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4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368" w:type="pct"/>
            <w:tcBorders>
              <w:top w:val="single" w:color="000000" w:sz="4" w:space="0"/>
              <w:left w:val="single" w:color="000000" w:sz="4" w:space="0"/>
              <w:bottom w:val="single" w:color="000000" w:sz="4" w:space="0"/>
              <w:right w:val="single" w:color="000000" w:sz="4" w:space="0"/>
            </w:tcBorders>
            <w:shd w:val="clear" w:color="auto" w:fill="92D050"/>
            <w:noWrap/>
            <w:vAlign w:val="bottom"/>
          </w:tcPr>
          <w:p>
            <w:pPr>
              <w:spacing w:after="0" w:line="240" w:lineRule="auto"/>
              <w:rPr>
                <w:rFonts w:ascii="Times New Roman" w:hAnsi="Times New Roman" w:cs="Times New Roman"/>
                <w:color w:val="000000" w:themeColor="text1"/>
                <w:sz w:val="24"/>
                <w:szCs w:val="24"/>
              </w:rPr>
            </w:pPr>
          </w:p>
        </w:tc>
      </w:tr>
    </w:tbl>
    <w:p>
      <w:pPr>
        <w:spacing w:after="0" w:line="480" w:lineRule="auto"/>
        <w:jc w:val="both"/>
        <w:rPr>
          <w:rFonts w:ascii="Times New Roman" w:hAnsi="Times New Roman" w:cs="Times New Roman"/>
          <w:color w:val="000000" w:themeColor="text1"/>
          <w:sz w:val="24"/>
          <w:szCs w:val="24"/>
        </w:rPr>
      </w:pPr>
    </w:p>
    <w:p>
      <w:pPr>
        <w:pStyle w:val="2"/>
        <w:spacing w:before="0" w:line="480" w:lineRule="auto"/>
        <w:jc w:val="both"/>
        <w:rPr>
          <w:rFonts w:ascii="Times New Roman" w:hAnsi="Times New Roman" w:cs="Times New Roman"/>
          <w:color w:val="000000" w:themeColor="text1"/>
          <w:sz w:val="24"/>
          <w:szCs w:val="24"/>
        </w:rPr>
      </w:pPr>
      <w:bookmarkStart w:id="28" w:name="_Toc65147158"/>
      <w:r>
        <w:rPr>
          <w:rFonts w:ascii="Times New Roman" w:hAnsi="Times New Roman" w:cs="Times New Roman"/>
          <w:color w:val="000000" w:themeColor="text1"/>
          <w:sz w:val="24"/>
          <w:szCs w:val="24"/>
        </w:rPr>
        <w:t>6.0 Management Summary</w:t>
      </w:r>
      <w:bookmarkEnd w:id="28"/>
    </w:p>
    <w:p>
      <w:p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 xml:space="preserve">The whole management team at the beginning of the business activities will rely upon the founder of Carnival Row Tech Consulting Limited. However, as the company starts to grow in the market, the management will take the key roles concerning consulting services, sales, profits and marketing. </w:t>
      </w:r>
    </w:p>
    <w:p>
      <w:pPr>
        <w:pStyle w:val="3"/>
        <w:spacing w:before="0" w:line="480" w:lineRule="auto"/>
        <w:jc w:val="both"/>
        <w:rPr>
          <w:rFonts w:ascii="Times New Roman" w:hAnsi="Times New Roman" w:cs="Times New Roman"/>
          <w:color w:val="000000" w:themeColor="text1"/>
          <w:sz w:val="24"/>
          <w:szCs w:val="24"/>
        </w:rPr>
      </w:pPr>
      <w:bookmarkStart w:id="29" w:name="_Toc65147159"/>
      <w:r>
        <w:rPr>
          <w:rFonts w:ascii="Times New Roman" w:hAnsi="Times New Roman" w:cs="Times New Roman"/>
          <w:color w:val="000000" w:themeColor="text1"/>
          <w:sz w:val="24"/>
          <w:szCs w:val="24"/>
        </w:rPr>
        <w:t>6.1 Organisational Structure</w:t>
      </w:r>
      <w:bookmarkEnd w:id="29"/>
    </w:p>
    <w:p>
      <w:p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 xml:space="preserve">Carnival Row Tech Consulting Limited will be managed by Mr. John (CEO and Founder of the company) and other key managers hired for resources, marketing, human resources and finance. Further, the company will partner with a strong venture in Latin America and another partner in the US to have wider and smooth business operations. </w:t>
      </w:r>
    </w:p>
    <w:p>
      <w:pPr>
        <w:pStyle w:val="3"/>
        <w:spacing w:before="0" w:line="480" w:lineRule="auto"/>
        <w:jc w:val="both"/>
        <w:rPr>
          <w:rFonts w:ascii="Times New Roman" w:hAnsi="Times New Roman" w:cs="Times New Roman"/>
          <w:color w:val="000000" w:themeColor="text1"/>
          <w:sz w:val="24"/>
          <w:szCs w:val="24"/>
        </w:rPr>
      </w:pPr>
      <w:bookmarkStart w:id="30" w:name="_Toc65147160"/>
      <w:r>
        <w:rPr>
          <w:rFonts w:ascii="Times New Roman" w:hAnsi="Times New Roman" w:cs="Times New Roman"/>
          <w:color w:val="000000" w:themeColor="text1"/>
          <w:sz w:val="24"/>
          <w:szCs w:val="24"/>
        </w:rPr>
        <w:t>6.2 Management Team</w:t>
      </w:r>
      <w:bookmarkEnd w:id="30"/>
    </w:p>
    <w:p>
      <w:p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 xml:space="preserve">Carnival Row Tech Consulting Limited will hire international experts with having a sound level of experience in their respective fields in order to run the business activities smoothly and profitably. This means that the company will not rely upon the owner and partners to run the whole business, which is considered as the most common practice globally. </w:t>
      </w:r>
    </w:p>
    <w:p>
      <w:pPr>
        <w:pageBreakBefore w:val="0"/>
        <w:widowControl/>
        <w:kinsoku/>
        <w:wordWrap/>
        <w:overflowPunct/>
        <w:topLinePunct w:val="0"/>
        <w:autoSpaceDE/>
        <w:autoSpaceDN/>
        <w:bidi w:val="0"/>
        <w:adjustRightInd/>
        <w:snapToGrid/>
        <w:spacing w:after="0" w:line="480" w:lineRule="auto"/>
        <w:jc w:val="both"/>
        <w:textAlignment w:val="auto"/>
        <w:rPr>
          <w:rFonts w:hint="default" w:ascii="Times New Roman" w:hAnsi="Times New Roman" w:cs="Times New Roman"/>
          <w:color w:val="000000" w:themeColor="text1"/>
          <w:sz w:val="24"/>
          <w:szCs w:val="24"/>
        </w:rPr>
      </w:pPr>
      <w:r>
        <w:rPr>
          <w:rFonts w:hint="default" w:ascii="Times New Roman" w:hAnsi="Times New Roman" w:cs="Times New Roman"/>
          <w:color w:val="000000" w:themeColor="text1"/>
          <w:sz w:val="24"/>
          <w:szCs w:val="24"/>
        </w:rPr>
        <w:tab/>
      </w:r>
      <w:r>
        <w:rPr>
          <w:rFonts w:hint="default" w:ascii="Times New Roman" w:hAnsi="Times New Roman" w:cs="Times New Roman"/>
          <w:color w:val="000000" w:themeColor="text1"/>
          <w:sz w:val="24"/>
          <w:szCs w:val="24"/>
        </w:rPr>
        <w:t>The owner and the business partners will only take the roles of fulfilling the key business propositions and decisions and also in providing expert advice to the clients in the market. The personal plan is currently in the phase of tentative and requires the constant involvement of every key stakeholder of the company.</w:t>
      </w:r>
    </w:p>
    <w:p>
      <w:pPr>
        <w:pStyle w:val="3"/>
        <w:pageBreakBefore w:val="0"/>
        <w:widowControl/>
        <w:kinsoku/>
        <w:wordWrap/>
        <w:overflowPunct/>
        <w:topLinePunct w:val="0"/>
        <w:autoSpaceDE/>
        <w:autoSpaceDN/>
        <w:bidi w:val="0"/>
        <w:adjustRightInd/>
        <w:snapToGrid/>
        <w:spacing w:before="0" w:line="480" w:lineRule="auto"/>
        <w:textAlignment w:val="auto"/>
        <w:rPr>
          <w:rFonts w:hint="default" w:ascii="Times New Roman" w:hAnsi="Times New Roman" w:cs="Times New Roman"/>
          <w:sz w:val="24"/>
          <w:szCs w:val="24"/>
        </w:rPr>
      </w:pPr>
      <w:bookmarkStart w:id="31" w:name="_Toc65147161"/>
      <w:r>
        <w:rPr>
          <w:rFonts w:hint="default" w:ascii="Times New Roman" w:hAnsi="Times New Roman" w:cs="Times New Roman"/>
          <w:sz w:val="24"/>
          <w:szCs w:val="24"/>
        </w:rPr>
        <w:t>6.3 Personnel Plan</w:t>
      </w:r>
      <w:bookmarkEnd w:id="31"/>
    </w:p>
    <w:p>
      <w:pPr>
        <w:pageBreakBefore w:val="0"/>
        <w:widowControl/>
        <w:kinsoku/>
        <w:wordWrap/>
        <w:overflowPunct/>
        <w:topLinePunct w:val="0"/>
        <w:autoSpaceDE/>
        <w:autoSpaceDN/>
        <w:bidi w:val="0"/>
        <w:adjustRightInd/>
        <w:snapToGrid/>
        <w:spacing w:after="0" w:line="480" w:lineRule="auto"/>
        <w:jc w:val="both"/>
        <w:textAlignment w:val="auto"/>
        <w:rPr>
          <w:rFonts w:hint="default" w:ascii="Times New Roman" w:hAnsi="Times New Roman" w:cs="Times New Roman"/>
          <w:color w:val="000000" w:themeColor="text1"/>
          <w:sz w:val="24"/>
          <w:szCs w:val="24"/>
        </w:rPr>
      </w:pPr>
      <w:r>
        <w:rPr>
          <w:rFonts w:hint="default" w:ascii="Times New Roman" w:hAnsi="Times New Roman" w:cs="Times New Roman"/>
          <w:color w:val="000000" w:themeColor="text1"/>
          <w:sz w:val="24"/>
          <w:szCs w:val="24"/>
        </w:rPr>
        <w:tab/>
      </w:r>
      <w:r>
        <w:rPr>
          <w:rFonts w:hint="default" w:ascii="Times New Roman" w:hAnsi="Times New Roman" w:cs="Times New Roman"/>
          <w:color w:val="000000" w:themeColor="text1"/>
          <w:sz w:val="24"/>
          <w:szCs w:val="24"/>
        </w:rPr>
        <w:t>The annual personnel plan for Carnival Row Tech Consulting Limited is as follows:</w:t>
      </w:r>
    </w:p>
    <w:p>
      <w:pPr>
        <w:pageBreakBefore w:val="0"/>
        <w:widowControl/>
        <w:kinsoku/>
        <w:wordWrap/>
        <w:overflowPunct/>
        <w:topLinePunct w:val="0"/>
        <w:autoSpaceDE/>
        <w:autoSpaceDN/>
        <w:bidi w:val="0"/>
        <w:adjustRightInd/>
        <w:snapToGrid/>
        <w:spacing w:after="0" w:line="480" w:lineRule="auto"/>
        <w:jc w:val="both"/>
        <w:textAlignment w:val="auto"/>
        <w:rPr>
          <w:rFonts w:ascii="Times New Roman" w:hAnsi="Times New Roman" w:cs="Times New Roman"/>
          <w:color w:val="000000" w:themeColor="text1"/>
          <w:sz w:val="24"/>
          <w:szCs w:val="24"/>
        </w:rPr>
      </w:pPr>
      <w:r>
        <w:rPr>
          <w:rFonts w:hint="default" w:ascii="Times New Roman" w:hAnsi="Times New Roman" w:cs="Times New Roman"/>
          <w:color w:val="000000" w:themeColor="text1"/>
          <w:sz w:val="24"/>
          <w:szCs w:val="24"/>
        </w:rPr>
        <w:t>Table: Personnel Plan</w:t>
      </w:r>
    </w:p>
    <w:tbl>
      <w:tblPr>
        <w:tblStyle w:val="11"/>
        <w:tblW w:w="0" w:type="auto"/>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878"/>
        <w:gridCol w:w="1080"/>
        <w:gridCol w:w="1176"/>
        <w:gridCol w:w="116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4878" w:type="dxa"/>
          </w:tcPr>
          <w:p>
            <w:pPr>
              <w:spacing w:after="0"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Particulars</w:t>
            </w:r>
          </w:p>
        </w:tc>
        <w:tc>
          <w:tcPr>
            <w:tcW w:w="1080" w:type="dxa"/>
          </w:tcPr>
          <w:p>
            <w:pPr>
              <w:spacing w:after="0"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2022 ($)</w:t>
            </w:r>
          </w:p>
        </w:tc>
        <w:tc>
          <w:tcPr>
            <w:tcW w:w="1176" w:type="dxa"/>
          </w:tcPr>
          <w:p>
            <w:pPr>
              <w:spacing w:after="0"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2023 ($)</w:t>
            </w:r>
          </w:p>
        </w:tc>
        <w:tc>
          <w:tcPr>
            <w:tcW w:w="1164" w:type="dxa"/>
          </w:tcPr>
          <w:p>
            <w:pPr>
              <w:spacing w:after="0"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2024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jc w:val="center"/>
        </w:trPr>
        <w:tc>
          <w:tcPr>
            <w:tcW w:w="4878" w:type="dxa"/>
          </w:tcPr>
          <w:p>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Consultants (2 consultants, $15000 per person)</w:t>
            </w:r>
          </w:p>
        </w:tc>
        <w:tc>
          <w:tcPr>
            <w:tcW w:w="1080" w:type="dxa"/>
          </w:tcPr>
          <w:p>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30000</w:t>
            </w:r>
          </w:p>
        </w:tc>
        <w:tc>
          <w:tcPr>
            <w:tcW w:w="1176" w:type="dxa"/>
          </w:tcPr>
          <w:p>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30000</w:t>
            </w:r>
          </w:p>
        </w:tc>
        <w:tc>
          <w:tcPr>
            <w:tcW w:w="1164" w:type="dxa"/>
          </w:tcPr>
          <w:p>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30000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4878" w:type="dxa"/>
          </w:tcPr>
          <w:p>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Sales Personnel (4 persons, $10000 per person)</w:t>
            </w:r>
          </w:p>
        </w:tc>
        <w:tc>
          <w:tcPr>
            <w:tcW w:w="1080" w:type="dxa"/>
          </w:tcPr>
          <w:p>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40000</w:t>
            </w:r>
          </w:p>
        </w:tc>
        <w:tc>
          <w:tcPr>
            <w:tcW w:w="1176" w:type="dxa"/>
          </w:tcPr>
          <w:p>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40000</w:t>
            </w:r>
          </w:p>
        </w:tc>
        <w:tc>
          <w:tcPr>
            <w:tcW w:w="1164" w:type="dxa"/>
          </w:tcPr>
          <w:p>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40000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jc w:val="center"/>
        </w:trPr>
        <w:tc>
          <w:tcPr>
            <w:tcW w:w="4878" w:type="dxa"/>
          </w:tcPr>
          <w:p>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Managers (4 managers, $25000 per person)</w:t>
            </w:r>
          </w:p>
        </w:tc>
        <w:tc>
          <w:tcPr>
            <w:tcW w:w="1080" w:type="dxa"/>
          </w:tcPr>
          <w:p>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100000</w:t>
            </w:r>
          </w:p>
        </w:tc>
        <w:tc>
          <w:tcPr>
            <w:tcW w:w="1176" w:type="dxa"/>
          </w:tcPr>
          <w:p>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100000</w:t>
            </w:r>
          </w:p>
        </w:tc>
        <w:tc>
          <w:tcPr>
            <w:tcW w:w="1164" w:type="dxa"/>
          </w:tcPr>
          <w:p>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100000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4878" w:type="dxa"/>
          </w:tcPr>
          <w:p>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Others</w:t>
            </w:r>
          </w:p>
        </w:tc>
        <w:tc>
          <w:tcPr>
            <w:tcW w:w="1080" w:type="dxa"/>
          </w:tcPr>
          <w:p>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30000</w:t>
            </w:r>
          </w:p>
        </w:tc>
        <w:tc>
          <w:tcPr>
            <w:tcW w:w="1176" w:type="dxa"/>
          </w:tcPr>
          <w:p>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30000</w:t>
            </w:r>
          </w:p>
        </w:tc>
        <w:tc>
          <w:tcPr>
            <w:tcW w:w="1164" w:type="dxa"/>
          </w:tcPr>
          <w:p>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30000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jc w:val="center"/>
        </w:trPr>
        <w:tc>
          <w:tcPr>
            <w:tcW w:w="4878" w:type="dxa"/>
          </w:tcPr>
          <w:p>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Total </w:t>
            </w:r>
          </w:p>
        </w:tc>
        <w:tc>
          <w:tcPr>
            <w:tcW w:w="1080" w:type="dxa"/>
          </w:tcPr>
          <w:p>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200000</w:t>
            </w:r>
          </w:p>
        </w:tc>
        <w:tc>
          <w:tcPr>
            <w:tcW w:w="1176" w:type="dxa"/>
          </w:tcPr>
          <w:p>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200000</w:t>
            </w:r>
          </w:p>
        </w:tc>
        <w:tc>
          <w:tcPr>
            <w:tcW w:w="1164" w:type="dxa"/>
          </w:tcPr>
          <w:p>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200000</w:t>
            </w:r>
          </w:p>
        </w:tc>
      </w:tr>
    </w:tbl>
    <w:p>
      <w:pPr>
        <w:spacing w:after="0" w:line="480" w:lineRule="auto"/>
        <w:jc w:val="both"/>
        <w:rPr>
          <w:rFonts w:ascii="Times New Roman" w:hAnsi="Times New Roman" w:cs="Times New Roman"/>
          <w:color w:val="000000" w:themeColor="text1"/>
          <w:sz w:val="24"/>
          <w:szCs w:val="24"/>
        </w:rPr>
      </w:pPr>
    </w:p>
    <w:p>
      <w:pPr>
        <w:pStyle w:val="2"/>
        <w:spacing w:before="0" w:line="480" w:lineRule="auto"/>
        <w:jc w:val="both"/>
        <w:rPr>
          <w:rFonts w:ascii="Times New Roman" w:hAnsi="Times New Roman" w:cs="Times New Roman"/>
          <w:color w:val="000000" w:themeColor="text1"/>
          <w:sz w:val="24"/>
          <w:szCs w:val="24"/>
        </w:rPr>
      </w:pPr>
      <w:bookmarkStart w:id="32" w:name="_Toc65147162"/>
      <w:r>
        <w:rPr>
          <w:rFonts w:ascii="Times New Roman" w:hAnsi="Times New Roman" w:cs="Times New Roman"/>
          <w:color w:val="000000" w:themeColor="text1"/>
          <w:sz w:val="24"/>
          <w:szCs w:val="24"/>
        </w:rPr>
        <w:t>7.0 Financial Plan</w:t>
      </w:r>
      <w:bookmarkEnd w:id="32"/>
    </w:p>
    <w:p>
      <w:p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The presented section will elaborate on the financial plan for Carnival Row Tech Consulting Limited based on several assumptions and estimates. After analysing the requirements for initial investments, market trends and other key aspects; the financial plan for the company has been prepared for the period 2022 to 2024.</w:t>
      </w:r>
    </w:p>
    <w:p>
      <w:pPr>
        <w:pStyle w:val="3"/>
        <w:spacing w:before="0" w:line="480" w:lineRule="auto"/>
        <w:jc w:val="both"/>
        <w:rPr>
          <w:rFonts w:ascii="Times New Roman" w:hAnsi="Times New Roman" w:cs="Times New Roman"/>
          <w:color w:val="000000" w:themeColor="text1"/>
          <w:sz w:val="24"/>
          <w:szCs w:val="24"/>
        </w:rPr>
      </w:pPr>
      <w:bookmarkStart w:id="33" w:name="_Toc65147163"/>
      <w:r>
        <w:rPr>
          <w:rFonts w:ascii="Times New Roman" w:hAnsi="Times New Roman" w:cs="Times New Roman"/>
          <w:color w:val="000000" w:themeColor="text1"/>
          <w:sz w:val="24"/>
          <w:szCs w:val="24"/>
        </w:rPr>
        <w:t>7.1 Important Assumptions</w:t>
      </w:r>
      <w:bookmarkEnd w:id="33"/>
    </w:p>
    <w:p>
      <w:p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The below-presented table indicates some of the key assumptions taken under the business report for Carnival Row Tech Consulting Limited:</w:t>
      </w:r>
    </w:p>
    <w:p>
      <w:p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General Assumptions for Financial Planning</w:t>
      </w:r>
    </w:p>
    <w:tbl>
      <w:tblPr>
        <w:tblStyle w:val="1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4788"/>
        <w:gridCol w:w="478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788" w:type="dxa"/>
          </w:tcPr>
          <w:p>
            <w:pPr>
              <w:spacing w:after="0"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Particulars</w:t>
            </w:r>
          </w:p>
        </w:tc>
        <w:tc>
          <w:tcPr>
            <w:tcW w:w="4788" w:type="dxa"/>
          </w:tcPr>
          <w:p>
            <w:pPr>
              <w:spacing w:after="0"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Assumptions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788" w:type="dxa"/>
          </w:tcPr>
          <w:p>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Interest Rate</w:t>
            </w:r>
          </w:p>
        </w:tc>
        <w:tc>
          <w:tcPr>
            <w:tcW w:w="4788" w:type="dxa"/>
          </w:tcPr>
          <w:p>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Assumed to be 3% on the debt taken by the company and will remain constant. The outstanding bank loan (debt - $50000) will be payable after 2024, till then only the interest amount will be paid by the company not the principal amount.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788" w:type="dxa"/>
          </w:tcPr>
          <w:p>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Depreciation Rate</w:t>
            </w:r>
          </w:p>
        </w:tc>
        <w:tc>
          <w:tcPr>
            <w:tcW w:w="4788" w:type="dxa"/>
          </w:tcPr>
          <w:p>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Assumed to be 10% on Straight Line Method for every fixed asset throughout 2022 to 2024.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788" w:type="dxa"/>
          </w:tcPr>
          <w:p>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Income Tax Rate </w:t>
            </w:r>
          </w:p>
        </w:tc>
        <w:tc>
          <w:tcPr>
            <w:tcW w:w="4788" w:type="dxa"/>
          </w:tcPr>
          <w:p>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has been assumed to 21% as per the applicable rate in the US and will continue to remain the same for the upcoming years.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788" w:type="dxa"/>
          </w:tcPr>
          <w:p>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Sales</w:t>
            </w:r>
          </w:p>
        </w:tc>
        <w:tc>
          <w:tcPr>
            <w:tcW w:w="4788" w:type="dxa"/>
          </w:tcPr>
          <w:p>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has been assumed that the sales will start increasing by 10% approximately after 2022.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788" w:type="dxa"/>
          </w:tcPr>
          <w:p>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Accounts Receivables</w:t>
            </w:r>
          </w:p>
        </w:tc>
        <w:tc>
          <w:tcPr>
            <w:tcW w:w="4788" w:type="dxa"/>
          </w:tcPr>
          <w:p>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has been assumed that the company will derive sales 70% in cash and 30% in credit. The credit of 1 month for payment will be provided to the debtors.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788" w:type="dxa"/>
          </w:tcPr>
          <w:p>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Accounts Payables</w:t>
            </w:r>
          </w:p>
        </w:tc>
        <w:tc>
          <w:tcPr>
            <w:tcW w:w="4788" w:type="dxa"/>
          </w:tcPr>
          <w:p>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has been assumed that the company will make the payments in cash wholly for the purchases made.</w:t>
            </w:r>
          </w:p>
        </w:tc>
      </w:tr>
    </w:tbl>
    <w:p>
      <w:pPr>
        <w:spacing w:after="0" w:line="480" w:lineRule="auto"/>
        <w:jc w:val="both"/>
        <w:rPr>
          <w:rFonts w:ascii="Times New Roman" w:hAnsi="Times New Roman" w:cs="Times New Roman"/>
          <w:color w:val="000000" w:themeColor="text1"/>
          <w:sz w:val="24"/>
          <w:szCs w:val="24"/>
        </w:rPr>
      </w:pPr>
    </w:p>
    <w:p>
      <w:pPr>
        <w:pStyle w:val="3"/>
        <w:spacing w:before="0" w:line="480" w:lineRule="auto"/>
        <w:rPr>
          <w:rFonts w:ascii="Times New Roman" w:hAnsi="Times New Roman" w:cs="Times New Roman"/>
          <w:color w:val="000000" w:themeColor="text1"/>
          <w:sz w:val="24"/>
          <w:szCs w:val="24"/>
        </w:rPr>
      </w:pPr>
      <w:bookmarkStart w:id="34" w:name="_Toc65147164"/>
      <w:r>
        <w:rPr>
          <w:rFonts w:ascii="Times New Roman" w:hAnsi="Times New Roman" w:cs="Times New Roman"/>
          <w:color w:val="000000" w:themeColor="text1"/>
          <w:sz w:val="24"/>
          <w:szCs w:val="24"/>
        </w:rPr>
        <w:t>7.2 Projected Profit and Loss Account</w:t>
      </w:r>
      <w:bookmarkEnd w:id="34"/>
    </w:p>
    <w:p>
      <w:p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The annual projected profit and loss statement for Carnival Row Tech Consulting Limited for the period from 2022 to 2024 is as follows:</w:t>
      </w:r>
    </w:p>
    <w:p>
      <w:p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Profit and Loss Account</w:t>
      </w:r>
    </w:p>
    <w:tbl>
      <w:tblPr>
        <w:tblStyle w:val="6"/>
        <w:tblW w:w="5000" w:type="pct"/>
        <w:tblInd w:w="0" w:type="dxa"/>
        <w:tblLayout w:type="fixed"/>
        <w:tblCellMar>
          <w:top w:w="0" w:type="dxa"/>
          <w:left w:w="108" w:type="dxa"/>
          <w:bottom w:w="0" w:type="dxa"/>
          <w:right w:w="108" w:type="dxa"/>
        </w:tblCellMar>
      </w:tblPr>
      <w:tblGrid>
        <w:gridCol w:w="3493"/>
        <w:gridCol w:w="1475"/>
        <w:gridCol w:w="2254"/>
        <w:gridCol w:w="2354"/>
      </w:tblGrid>
      <w:tr>
        <w:tblPrEx>
          <w:tblCellMar>
            <w:top w:w="0" w:type="dxa"/>
            <w:left w:w="108" w:type="dxa"/>
            <w:bottom w:w="0" w:type="dxa"/>
            <w:right w:w="108" w:type="dxa"/>
          </w:tblCellMar>
        </w:tblPrEx>
        <w:trPr>
          <w:trHeight w:val="360" w:hRule="atLeast"/>
        </w:trPr>
        <w:tc>
          <w:tcPr>
            <w:tcW w:w="5000" w:type="pct"/>
            <w:gridSpan w:val="4"/>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center"/>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INCOME STATEMENT (PROFIT &amp; LOSS STATEMENT)</w:t>
            </w:r>
          </w:p>
        </w:tc>
      </w:tr>
      <w:tr>
        <w:tblPrEx>
          <w:tblCellMar>
            <w:top w:w="0" w:type="dxa"/>
            <w:left w:w="108" w:type="dxa"/>
            <w:bottom w:w="0" w:type="dxa"/>
            <w:right w:w="108" w:type="dxa"/>
          </w:tblCellMar>
        </w:tblPrEx>
        <w:trPr>
          <w:trHeight w:val="288" w:hRule="atLeast"/>
        </w:trPr>
        <w:tc>
          <w:tcPr>
            <w:tcW w:w="5000" w:type="pct"/>
            <w:gridSpan w:val="4"/>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center"/>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Carnival Row Tech Consulting Limited</w:t>
            </w:r>
          </w:p>
        </w:tc>
      </w:tr>
      <w:tr>
        <w:tblPrEx>
          <w:tblCellMar>
            <w:top w:w="0" w:type="dxa"/>
            <w:left w:w="108" w:type="dxa"/>
            <w:bottom w:w="0" w:type="dxa"/>
            <w:right w:w="108" w:type="dxa"/>
          </w:tblCellMar>
        </w:tblPrEx>
        <w:trPr>
          <w:trHeight w:val="288" w:hRule="atLeast"/>
        </w:trPr>
        <w:tc>
          <w:tcPr>
            <w:tcW w:w="182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3176" w:type="pct"/>
            <w:gridSpan w:val="3"/>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center"/>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Time Periods</w:t>
            </w:r>
          </w:p>
        </w:tc>
      </w:tr>
      <w:tr>
        <w:tblPrEx>
          <w:tblCellMar>
            <w:top w:w="0" w:type="dxa"/>
            <w:left w:w="108" w:type="dxa"/>
            <w:bottom w:w="0" w:type="dxa"/>
            <w:right w:w="108" w:type="dxa"/>
          </w:tblCellMar>
        </w:tblPrEx>
        <w:trPr>
          <w:trHeight w:val="288" w:hRule="atLeast"/>
        </w:trPr>
        <w:tc>
          <w:tcPr>
            <w:tcW w:w="1824" w:type="pct"/>
            <w:tcBorders>
              <w:top w:val="single" w:color="000000" w:sz="4" w:space="0"/>
              <w:left w:val="single" w:color="000000" w:sz="4" w:space="0"/>
              <w:bottom w:val="single" w:color="000000" w:sz="4" w:space="0"/>
              <w:right w:val="single" w:color="000000" w:sz="4" w:space="0"/>
            </w:tcBorders>
            <w:shd w:val="clear" w:color="auto" w:fill="auto"/>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Particulars</w:t>
            </w:r>
          </w:p>
        </w:tc>
        <w:tc>
          <w:tcPr>
            <w:tcW w:w="77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End of Year 1</w:t>
            </w:r>
          </w:p>
        </w:tc>
        <w:tc>
          <w:tcPr>
            <w:tcW w:w="117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End of Year 2 (Projected)</w:t>
            </w:r>
          </w:p>
        </w:tc>
        <w:tc>
          <w:tcPr>
            <w:tcW w:w="122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End of Year 3 (Projected)</w:t>
            </w:r>
          </w:p>
        </w:tc>
      </w:tr>
      <w:tr>
        <w:tblPrEx>
          <w:tblCellMar>
            <w:top w:w="0" w:type="dxa"/>
            <w:left w:w="108" w:type="dxa"/>
            <w:bottom w:w="0" w:type="dxa"/>
            <w:right w:w="108" w:type="dxa"/>
          </w:tblCellMar>
        </w:tblPrEx>
        <w:trPr>
          <w:trHeight w:val="288" w:hRule="atLeast"/>
        </w:trPr>
        <w:tc>
          <w:tcPr>
            <w:tcW w:w="182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77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117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122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r>
      <w:tr>
        <w:tblPrEx>
          <w:tblCellMar>
            <w:top w:w="0" w:type="dxa"/>
            <w:left w:w="108" w:type="dxa"/>
            <w:bottom w:w="0" w:type="dxa"/>
            <w:right w:w="108" w:type="dxa"/>
          </w:tblCellMar>
        </w:tblPrEx>
        <w:trPr>
          <w:trHeight w:val="288" w:hRule="atLeast"/>
        </w:trPr>
        <w:tc>
          <w:tcPr>
            <w:tcW w:w="182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Sales</w:t>
            </w:r>
          </w:p>
        </w:tc>
        <w:tc>
          <w:tcPr>
            <w:tcW w:w="77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$505,400.00 </w:t>
            </w:r>
          </w:p>
        </w:tc>
        <w:tc>
          <w:tcPr>
            <w:tcW w:w="117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$555,940.00 </w:t>
            </w:r>
          </w:p>
        </w:tc>
        <w:tc>
          <w:tcPr>
            <w:tcW w:w="122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$611,070.00 </w:t>
            </w:r>
          </w:p>
        </w:tc>
      </w:tr>
      <w:tr>
        <w:tblPrEx>
          <w:tblCellMar>
            <w:top w:w="0" w:type="dxa"/>
            <w:left w:w="108" w:type="dxa"/>
            <w:bottom w:w="0" w:type="dxa"/>
            <w:right w:w="108" w:type="dxa"/>
          </w:tblCellMar>
        </w:tblPrEx>
        <w:trPr>
          <w:trHeight w:val="288" w:hRule="atLeast"/>
        </w:trPr>
        <w:tc>
          <w:tcPr>
            <w:tcW w:w="182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Cost of Service</w:t>
            </w:r>
          </w:p>
        </w:tc>
        <w:tc>
          <w:tcPr>
            <w:tcW w:w="77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$160,345.00 </w:t>
            </w:r>
          </w:p>
        </w:tc>
        <w:tc>
          <w:tcPr>
            <w:tcW w:w="117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$176,379.50 </w:t>
            </w:r>
          </w:p>
        </w:tc>
        <w:tc>
          <w:tcPr>
            <w:tcW w:w="122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$193,921.00 </w:t>
            </w:r>
          </w:p>
        </w:tc>
      </w:tr>
      <w:tr>
        <w:tblPrEx>
          <w:tblCellMar>
            <w:top w:w="0" w:type="dxa"/>
            <w:left w:w="108" w:type="dxa"/>
            <w:bottom w:w="0" w:type="dxa"/>
            <w:right w:w="108" w:type="dxa"/>
          </w:tblCellMar>
        </w:tblPrEx>
        <w:trPr>
          <w:trHeight w:val="288" w:hRule="atLeast"/>
        </w:trPr>
        <w:tc>
          <w:tcPr>
            <w:tcW w:w="182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GROSS PROFIT</w:t>
            </w:r>
          </w:p>
        </w:tc>
        <w:tc>
          <w:tcPr>
            <w:tcW w:w="77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$345,055.00 </w:t>
            </w:r>
          </w:p>
        </w:tc>
        <w:tc>
          <w:tcPr>
            <w:tcW w:w="117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$379,560.50 </w:t>
            </w:r>
          </w:p>
        </w:tc>
        <w:tc>
          <w:tcPr>
            <w:tcW w:w="122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$417,149.00 </w:t>
            </w:r>
          </w:p>
        </w:tc>
      </w:tr>
      <w:tr>
        <w:tblPrEx>
          <w:tblCellMar>
            <w:top w:w="0" w:type="dxa"/>
            <w:left w:w="108" w:type="dxa"/>
            <w:bottom w:w="0" w:type="dxa"/>
            <w:right w:w="108" w:type="dxa"/>
          </w:tblCellMar>
        </w:tblPrEx>
        <w:trPr>
          <w:trHeight w:val="288" w:hRule="atLeast"/>
        </w:trPr>
        <w:tc>
          <w:tcPr>
            <w:tcW w:w="182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77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117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122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r>
      <w:tr>
        <w:tblPrEx>
          <w:tblCellMar>
            <w:top w:w="0" w:type="dxa"/>
            <w:left w:w="108" w:type="dxa"/>
            <w:bottom w:w="0" w:type="dxa"/>
            <w:right w:w="108" w:type="dxa"/>
          </w:tblCellMar>
        </w:tblPrEx>
        <w:trPr>
          <w:trHeight w:val="288" w:hRule="atLeast"/>
        </w:trPr>
        <w:tc>
          <w:tcPr>
            <w:tcW w:w="182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Operating Expenses</w:t>
            </w:r>
          </w:p>
        </w:tc>
        <w:tc>
          <w:tcPr>
            <w:tcW w:w="77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117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122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r>
      <w:tr>
        <w:tblPrEx>
          <w:tblCellMar>
            <w:top w:w="0" w:type="dxa"/>
            <w:left w:w="108" w:type="dxa"/>
            <w:bottom w:w="0" w:type="dxa"/>
            <w:right w:w="108" w:type="dxa"/>
          </w:tblCellMar>
        </w:tblPrEx>
        <w:trPr>
          <w:trHeight w:val="288" w:hRule="atLeast"/>
        </w:trPr>
        <w:tc>
          <w:tcPr>
            <w:tcW w:w="182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Salary (Office &amp; Overhead)</w:t>
            </w:r>
          </w:p>
        </w:tc>
        <w:tc>
          <w:tcPr>
            <w:tcW w:w="77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$200,000.00 </w:t>
            </w:r>
          </w:p>
        </w:tc>
        <w:tc>
          <w:tcPr>
            <w:tcW w:w="117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$200,000.00 </w:t>
            </w:r>
          </w:p>
        </w:tc>
        <w:tc>
          <w:tcPr>
            <w:tcW w:w="122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$200,000.00 </w:t>
            </w:r>
          </w:p>
        </w:tc>
      </w:tr>
      <w:tr>
        <w:tblPrEx>
          <w:tblCellMar>
            <w:top w:w="0" w:type="dxa"/>
            <w:left w:w="108" w:type="dxa"/>
            <w:bottom w:w="0" w:type="dxa"/>
            <w:right w:w="108" w:type="dxa"/>
          </w:tblCellMar>
        </w:tblPrEx>
        <w:trPr>
          <w:trHeight w:val="288" w:hRule="atLeast"/>
        </w:trPr>
        <w:tc>
          <w:tcPr>
            <w:tcW w:w="182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Lease</w:t>
            </w:r>
          </w:p>
        </w:tc>
        <w:tc>
          <w:tcPr>
            <w:tcW w:w="77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$3,000.00 </w:t>
            </w:r>
          </w:p>
        </w:tc>
        <w:tc>
          <w:tcPr>
            <w:tcW w:w="117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$3,000.00 </w:t>
            </w:r>
          </w:p>
        </w:tc>
        <w:tc>
          <w:tcPr>
            <w:tcW w:w="122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$3,000.00 </w:t>
            </w:r>
          </w:p>
        </w:tc>
      </w:tr>
      <w:tr>
        <w:tblPrEx>
          <w:tblCellMar>
            <w:top w:w="0" w:type="dxa"/>
            <w:left w:w="108" w:type="dxa"/>
            <w:bottom w:w="0" w:type="dxa"/>
            <w:right w:w="108" w:type="dxa"/>
          </w:tblCellMar>
        </w:tblPrEx>
        <w:trPr>
          <w:trHeight w:val="288" w:hRule="atLeast"/>
        </w:trPr>
        <w:tc>
          <w:tcPr>
            <w:tcW w:w="182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Outside Services</w:t>
            </w:r>
          </w:p>
        </w:tc>
        <w:tc>
          <w:tcPr>
            <w:tcW w:w="77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$15,000.00 </w:t>
            </w:r>
          </w:p>
        </w:tc>
        <w:tc>
          <w:tcPr>
            <w:tcW w:w="117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$15,000.00 </w:t>
            </w:r>
          </w:p>
        </w:tc>
        <w:tc>
          <w:tcPr>
            <w:tcW w:w="122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$15,000.00 </w:t>
            </w:r>
          </w:p>
        </w:tc>
      </w:tr>
      <w:tr>
        <w:tblPrEx>
          <w:tblCellMar>
            <w:top w:w="0" w:type="dxa"/>
            <w:left w:w="108" w:type="dxa"/>
            <w:bottom w:w="0" w:type="dxa"/>
            <w:right w:w="108" w:type="dxa"/>
          </w:tblCellMar>
        </w:tblPrEx>
        <w:trPr>
          <w:trHeight w:val="288" w:hRule="atLeast"/>
        </w:trPr>
        <w:tc>
          <w:tcPr>
            <w:tcW w:w="182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Registration</w:t>
            </w:r>
          </w:p>
        </w:tc>
        <w:tc>
          <w:tcPr>
            <w:tcW w:w="77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$1,600.00 </w:t>
            </w:r>
          </w:p>
        </w:tc>
        <w:tc>
          <w:tcPr>
            <w:tcW w:w="117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122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r>
      <w:tr>
        <w:tblPrEx>
          <w:tblCellMar>
            <w:top w:w="0" w:type="dxa"/>
            <w:left w:w="108" w:type="dxa"/>
            <w:bottom w:w="0" w:type="dxa"/>
            <w:right w:w="108" w:type="dxa"/>
          </w:tblCellMar>
        </w:tblPrEx>
        <w:trPr>
          <w:trHeight w:val="288" w:hRule="atLeast"/>
        </w:trPr>
        <w:tc>
          <w:tcPr>
            <w:tcW w:w="182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Repairs &amp; Maintenance</w:t>
            </w:r>
          </w:p>
        </w:tc>
        <w:tc>
          <w:tcPr>
            <w:tcW w:w="77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$15,000.00 </w:t>
            </w:r>
          </w:p>
        </w:tc>
        <w:tc>
          <w:tcPr>
            <w:tcW w:w="117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$15,000.00 </w:t>
            </w:r>
          </w:p>
        </w:tc>
        <w:tc>
          <w:tcPr>
            <w:tcW w:w="122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$15,000.00 </w:t>
            </w:r>
          </w:p>
        </w:tc>
      </w:tr>
      <w:tr>
        <w:tblPrEx>
          <w:tblCellMar>
            <w:top w:w="0" w:type="dxa"/>
            <w:left w:w="108" w:type="dxa"/>
            <w:bottom w:w="0" w:type="dxa"/>
            <w:right w:w="108" w:type="dxa"/>
          </w:tblCellMar>
        </w:tblPrEx>
        <w:trPr>
          <w:trHeight w:val="288" w:hRule="atLeast"/>
        </w:trPr>
        <w:tc>
          <w:tcPr>
            <w:tcW w:w="182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Advertising</w:t>
            </w:r>
          </w:p>
        </w:tc>
        <w:tc>
          <w:tcPr>
            <w:tcW w:w="77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$6,000.00 </w:t>
            </w:r>
          </w:p>
        </w:tc>
        <w:tc>
          <w:tcPr>
            <w:tcW w:w="117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$6,000.00 </w:t>
            </w:r>
          </w:p>
        </w:tc>
        <w:tc>
          <w:tcPr>
            <w:tcW w:w="122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$6,000.00 </w:t>
            </w:r>
          </w:p>
        </w:tc>
      </w:tr>
      <w:tr>
        <w:tblPrEx>
          <w:tblCellMar>
            <w:top w:w="0" w:type="dxa"/>
            <w:left w:w="108" w:type="dxa"/>
            <w:bottom w:w="0" w:type="dxa"/>
            <w:right w:w="108" w:type="dxa"/>
          </w:tblCellMar>
        </w:tblPrEx>
        <w:trPr>
          <w:trHeight w:val="288" w:hRule="atLeast"/>
        </w:trPr>
        <w:tc>
          <w:tcPr>
            <w:tcW w:w="182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Car, Delivery, Travel</w:t>
            </w:r>
          </w:p>
        </w:tc>
        <w:tc>
          <w:tcPr>
            <w:tcW w:w="77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$2,500.00 </w:t>
            </w:r>
          </w:p>
        </w:tc>
        <w:tc>
          <w:tcPr>
            <w:tcW w:w="117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$2,500.00 </w:t>
            </w:r>
          </w:p>
        </w:tc>
        <w:tc>
          <w:tcPr>
            <w:tcW w:w="122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$2,500.00 </w:t>
            </w:r>
          </w:p>
        </w:tc>
      </w:tr>
      <w:tr>
        <w:tblPrEx>
          <w:tblCellMar>
            <w:top w:w="0" w:type="dxa"/>
            <w:left w:w="108" w:type="dxa"/>
            <w:bottom w:w="0" w:type="dxa"/>
            <w:right w:w="108" w:type="dxa"/>
          </w:tblCellMar>
        </w:tblPrEx>
        <w:trPr>
          <w:trHeight w:val="288" w:hRule="atLeast"/>
        </w:trPr>
        <w:tc>
          <w:tcPr>
            <w:tcW w:w="182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Accounting Expenses</w:t>
            </w:r>
          </w:p>
        </w:tc>
        <w:tc>
          <w:tcPr>
            <w:tcW w:w="77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$2,000.00 </w:t>
            </w:r>
          </w:p>
        </w:tc>
        <w:tc>
          <w:tcPr>
            <w:tcW w:w="117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$2,000.00 </w:t>
            </w:r>
          </w:p>
        </w:tc>
        <w:tc>
          <w:tcPr>
            <w:tcW w:w="122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$2,000.00 </w:t>
            </w:r>
          </w:p>
        </w:tc>
      </w:tr>
      <w:tr>
        <w:tblPrEx>
          <w:tblCellMar>
            <w:top w:w="0" w:type="dxa"/>
            <w:left w:w="108" w:type="dxa"/>
            <w:bottom w:w="0" w:type="dxa"/>
            <w:right w:w="108" w:type="dxa"/>
          </w:tblCellMar>
        </w:tblPrEx>
        <w:trPr>
          <w:trHeight w:val="288" w:hRule="atLeast"/>
        </w:trPr>
        <w:tc>
          <w:tcPr>
            <w:tcW w:w="182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Legal Expenses</w:t>
            </w:r>
          </w:p>
        </w:tc>
        <w:tc>
          <w:tcPr>
            <w:tcW w:w="77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$800.00 </w:t>
            </w:r>
          </w:p>
        </w:tc>
        <w:tc>
          <w:tcPr>
            <w:tcW w:w="117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$800.00 </w:t>
            </w:r>
          </w:p>
        </w:tc>
        <w:tc>
          <w:tcPr>
            <w:tcW w:w="122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$800.00 </w:t>
            </w:r>
          </w:p>
        </w:tc>
      </w:tr>
      <w:tr>
        <w:tblPrEx>
          <w:tblCellMar>
            <w:top w:w="0" w:type="dxa"/>
            <w:left w:w="108" w:type="dxa"/>
            <w:bottom w:w="0" w:type="dxa"/>
            <w:right w:w="108" w:type="dxa"/>
          </w:tblCellMar>
        </w:tblPrEx>
        <w:trPr>
          <w:trHeight w:val="288" w:hRule="atLeast"/>
        </w:trPr>
        <w:tc>
          <w:tcPr>
            <w:tcW w:w="182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Telephone</w:t>
            </w:r>
          </w:p>
        </w:tc>
        <w:tc>
          <w:tcPr>
            <w:tcW w:w="77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$1,450.00 </w:t>
            </w:r>
          </w:p>
        </w:tc>
        <w:tc>
          <w:tcPr>
            <w:tcW w:w="117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$1,450.00 </w:t>
            </w:r>
          </w:p>
        </w:tc>
        <w:tc>
          <w:tcPr>
            <w:tcW w:w="122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$1,450.00 </w:t>
            </w:r>
          </w:p>
        </w:tc>
      </w:tr>
      <w:tr>
        <w:tblPrEx>
          <w:tblCellMar>
            <w:top w:w="0" w:type="dxa"/>
            <w:left w:w="108" w:type="dxa"/>
            <w:bottom w:w="0" w:type="dxa"/>
            <w:right w:w="108" w:type="dxa"/>
          </w:tblCellMar>
        </w:tblPrEx>
        <w:trPr>
          <w:trHeight w:val="288" w:hRule="atLeast"/>
        </w:trPr>
        <w:tc>
          <w:tcPr>
            <w:tcW w:w="182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Utilities</w:t>
            </w:r>
          </w:p>
        </w:tc>
        <w:tc>
          <w:tcPr>
            <w:tcW w:w="77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$500.00 </w:t>
            </w:r>
          </w:p>
        </w:tc>
        <w:tc>
          <w:tcPr>
            <w:tcW w:w="117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$500.00 </w:t>
            </w:r>
          </w:p>
        </w:tc>
        <w:tc>
          <w:tcPr>
            <w:tcW w:w="122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$500.00 </w:t>
            </w:r>
          </w:p>
        </w:tc>
      </w:tr>
      <w:tr>
        <w:tblPrEx>
          <w:tblCellMar>
            <w:top w:w="0" w:type="dxa"/>
            <w:left w:w="108" w:type="dxa"/>
            <w:bottom w:w="0" w:type="dxa"/>
            <w:right w:w="108" w:type="dxa"/>
          </w:tblCellMar>
        </w:tblPrEx>
        <w:trPr>
          <w:trHeight w:val="288" w:hRule="atLeast"/>
        </w:trPr>
        <w:tc>
          <w:tcPr>
            <w:tcW w:w="182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Insurance</w:t>
            </w:r>
          </w:p>
        </w:tc>
        <w:tc>
          <w:tcPr>
            <w:tcW w:w="77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$300.00 </w:t>
            </w:r>
          </w:p>
        </w:tc>
        <w:tc>
          <w:tcPr>
            <w:tcW w:w="117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$300.00 </w:t>
            </w:r>
          </w:p>
        </w:tc>
        <w:tc>
          <w:tcPr>
            <w:tcW w:w="122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$300.00 </w:t>
            </w:r>
          </w:p>
        </w:tc>
      </w:tr>
      <w:tr>
        <w:tblPrEx>
          <w:tblCellMar>
            <w:top w:w="0" w:type="dxa"/>
            <w:left w:w="108" w:type="dxa"/>
            <w:bottom w:w="0" w:type="dxa"/>
            <w:right w:w="108" w:type="dxa"/>
          </w:tblCellMar>
        </w:tblPrEx>
        <w:trPr>
          <w:trHeight w:val="288" w:hRule="atLeast"/>
        </w:trPr>
        <w:tc>
          <w:tcPr>
            <w:tcW w:w="182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Stationery</w:t>
            </w:r>
          </w:p>
        </w:tc>
        <w:tc>
          <w:tcPr>
            <w:tcW w:w="77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$4,000.00 </w:t>
            </w:r>
          </w:p>
        </w:tc>
        <w:tc>
          <w:tcPr>
            <w:tcW w:w="117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$4,000.00 </w:t>
            </w:r>
          </w:p>
        </w:tc>
        <w:tc>
          <w:tcPr>
            <w:tcW w:w="122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$4,000.00 </w:t>
            </w:r>
          </w:p>
        </w:tc>
      </w:tr>
      <w:tr>
        <w:tblPrEx>
          <w:tblCellMar>
            <w:top w:w="0" w:type="dxa"/>
            <w:left w:w="108" w:type="dxa"/>
            <w:bottom w:w="0" w:type="dxa"/>
            <w:right w:w="108" w:type="dxa"/>
          </w:tblCellMar>
        </w:tblPrEx>
        <w:trPr>
          <w:trHeight w:val="288" w:hRule="atLeast"/>
        </w:trPr>
        <w:tc>
          <w:tcPr>
            <w:tcW w:w="182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Miscellaneous</w:t>
            </w:r>
          </w:p>
        </w:tc>
        <w:tc>
          <w:tcPr>
            <w:tcW w:w="77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$1,650.00 </w:t>
            </w:r>
          </w:p>
        </w:tc>
        <w:tc>
          <w:tcPr>
            <w:tcW w:w="117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$1,650.00 </w:t>
            </w:r>
          </w:p>
        </w:tc>
        <w:tc>
          <w:tcPr>
            <w:tcW w:w="122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$1,650.00 </w:t>
            </w:r>
          </w:p>
        </w:tc>
      </w:tr>
      <w:tr>
        <w:tblPrEx>
          <w:tblCellMar>
            <w:top w:w="0" w:type="dxa"/>
            <w:left w:w="108" w:type="dxa"/>
            <w:bottom w:w="0" w:type="dxa"/>
            <w:right w:w="108" w:type="dxa"/>
          </w:tblCellMar>
        </w:tblPrEx>
        <w:trPr>
          <w:trHeight w:val="288" w:hRule="atLeast"/>
        </w:trPr>
        <w:tc>
          <w:tcPr>
            <w:tcW w:w="182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Software and development charges</w:t>
            </w:r>
          </w:p>
        </w:tc>
        <w:tc>
          <w:tcPr>
            <w:tcW w:w="77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$1,500.00 </w:t>
            </w:r>
          </w:p>
        </w:tc>
        <w:tc>
          <w:tcPr>
            <w:tcW w:w="117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$1,500.00 </w:t>
            </w:r>
          </w:p>
        </w:tc>
        <w:tc>
          <w:tcPr>
            <w:tcW w:w="122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$1,500.00 </w:t>
            </w:r>
          </w:p>
        </w:tc>
      </w:tr>
      <w:tr>
        <w:tblPrEx>
          <w:tblCellMar>
            <w:top w:w="0" w:type="dxa"/>
            <w:left w:w="108" w:type="dxa"/>
            <w:bottom w:w="0" w:type="dxa"/>
            <w:right w:w="108" w:type="dxa"/>
          </w:tblCellMar>
        </w:tblPrEx>
        <w:trPr>
          <w:trHeight w:val="288" w:hRule="atLeast"/>
        </w:trPr>
        <w:tc>
          <w:tcPr>
            <w:tcW w:w="182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Internet and other expenses</w:t>
            </w:r>
          </w:p>
        </w:tc>
        <w:tc>
          <w:tcPr>
            <w:tcW w:w="77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$850.00 </w:t>
            </w:r>
          </w:p>
        </w:tc>
        <w:tc>
          <w:tcPr>
            <w:tcW w:w="117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$850.00 </w:t>
            </w:r>
          </w:p>
        </w:tc>
        <w:tc>
          <w:tcPr>
            <w:tcW w:w="122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$850.00 </w:t>
            </w:r>
          </w:p>
        </w:tc>
      </w:tr>
      <w:tr>
        <w:tblPrEx>
          <w:tblCellMar>
            <w:top w:w="0" w:type="dxa"/>
            <w:left w:w="108" w:type="dxa"/>
            <w:bottom w:w="0" w:type="dxa"/>
            <w:right w:w="108" w:type="dxa"/>
          </w:tblCellMar>
        </w:tblPrEx>
        <w:trPr>
          <w:trHeight w:val="288" w:hRule="atLeast"/>
        </w:trPr>
        <w:tc>
          <w:tcPr>
            <w:tcW w:w="182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Trademark</w:t>
            </w:r>
          </w:p>
        </w:tc>
        <w:tc>
          <w:tcPr>
            <w:tcW w:w="77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$300.00 </w:t>
            </w:r>
          </w:p>
        </w:tc>
        <w:tc>
          <w:tcPr>
            <w:tcW w:w="117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122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r>
      <w:tr>
        <w:tblPrEx>
          <w:tblCellMar>
            <w:top w:w="0" w:type="dxa"/>
            <w:left w:w="108" w:type="dxa"/>
            <w:bottom w:w="0" w:type="dxa"/>
            <w:right w:w="108" w:type="dxa"/>
          </w:tblCellMar>
        </w:tblPrEx>
        <w:trPr>
          <w:trHeight w:val="288" w:hRule="atLeast"/>
        </w:trPr>
        <w:tc>
          <w:tcPr>
            <w:tcW w:w="182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Interest</w:t>
            </w:r>
          </w:p>
        </w:tc>
        <w:tc>
          <w:tcPr>
            <w:tcW w:w="77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$1,500.00 </w:t>
            </w:r>
          </w:p>
        </w:tc>
        <w:tc>
          <w:tcPr>
            <w:tcW w:w="117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$1,500.00 </w:t>
            </w:r>
          </w:p>
        </w:tc>
        <w:tc>
          <w:tcPr>
            <w:tcW w:w="122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$1,500.00 </w:t>
            </w:r>
          </w:p>
        </w:tc>
      </w:tr>
      <w:tr>
        <w:tblPrEx>
          <w:tblCellMar>
            <w:top w:w="0" w:type="dxa"/>
            <w:left w:w="108" w:type="dxa"/>
            <w:bottom w:w="0" w:type="dxa"/>
            <w:right w:w="108" w:type="dxa"/>
          </w:tblCellMar>
        </w:tblPrEx>
        <w:trPr>
          <w:trHeight w:val="288" w:hRule="atLeast"/>
        </w:trPr>
        <w:tc>
          <w:tcPr>
            <w:tcW w:w="182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Depreciation @ 10%</w:t>
            </w:r>
          </w:p>
        </w:tc>
        <w:tc>
          <w:tcPr>
            <w:tcW w:w="77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$7,800.00 </w:t>
            </w:r>
          </w:p>
        </w:tc>
        <w:tc>
          <w:tcPr>
            <w:tcW w:w="117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$7,800.00 </w:t>
            </w:r>
          </w:p>
        </w:tc>
        <w:tc>
          <w:tcPr>
            <w:tcW w:w="122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$7,800.00 </w:t>
            </w:r>
          </w:p>
        </w:tc>
      </w:tr>
      <w:tr>
        <w:tblPrEx>
          <w:tblCellMar>
            <w:top w:w="0" w:type="dxa"/>
            <w:left w:w="108" w:type="dxa"/>
            <w:bottom w:w="0" w:type="dxa"/>
            <w:right w:w="108" w:type="dxa"/>
          </w:tblCellMar>
        </w:tblPrEx>
        <w:trPr>
          <w:trHeight w:val="288" w:hRule="atLeast"/>
        </w:trPr>
        <w:tc>
          <w:tcPr>
            <w:tcW w:w="182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Other Expenses:</w:t>
            </w:r>
          </w:p>
        </w:tc>
        <w:tc>
          <w:tcPr>
            <w:tcW w:w="77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117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122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r>
      <w:tr>
        <w:tblPrEx>
          <w:tblCellMar>
            <w:top w:w="0" w:type="dxa"/>
            <w:left w:w="108" w:type="dxa"/>
            <w:bottom w:w="0" w:type="dxa"/>
            <w:right w:w="108" w:type="dxa"/>
          </w:tblCellMar>
        </w:tblPrEx>
        <w:trPr>
          <w:trHeight w:val="288" w:hRule="atLeast"/>
        </w:trPr>
        <w:tc>
          <w:tcPr>
            <w:tcW w:w="182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Miscellaneous</w:t>
            </w:r>
          </w:p>
        </w:tc>
        <w:tc>
          <w:tcPr>
            <w:tcW w:w="77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$4,000.00 </w:t>
            </w:r>
          </w:p>
        </w:tc>
        <w:tc>
          <w:tcPr>
            <w:tcW w:w="117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$4,000.00 </w:t>
            </w:r>
          </w:p>
        </w:tc>
        <w:tc>
          <w:tcPr>
            <w:tcW w:w="122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$4,000.00 </w:t>
            </w:r>
          </w:p>
        </w:tc>
      </w:tr>
      <w:tr>
        <w:tblPrEx>
          <w:tblCellMar>
            <w:top w:w="0" w:type="dxa"/>
            <w:left w:w="108" w:type="dxa"/>
            <w:bottom w:w="0" w:type="dxa"/>
            <w:right w:w="108" w:type="dxa"/>
          </w:tblCellMar>
        </w:tblPrEx>
        <w:trPr>
          <w:trHeight w:val="288" w:hRule="atLeast"/>
        </w:trPr>
        <w:tc>
          <w:tcPr>
            <w:tcW w:w="182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TOTAL OPERATING EXPENSES</w:t>
            </w:r>
          </w:p>
        </w:tc>
        <w:tc>
          <w:tcPr>
            <w:tcW w:w="77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$269,750.00 </w:t>
            </w:r>
          </w:p>
        </w:tc>
        <w:tc>
          <w:tcPr>
            <w:tcW w:w="117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$267,850.00 </w:t>
            </w:r>
          </w:p>
        </w:tc>
        <w:tc>
          <w:tcPr>
            <w:tcW w:w="122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$267,850.00 </w:t>
            </w:r>
          </w:p>
        </w:tc>
      </w:tr>
      <w:tr>
        <w:tblPrEx>
          <w:tblCellMar>
            <w:top w:w="0" w:type="dxa"/>
            <w:left w:w="108" w:type="dxa"/>
            <w:bottom w:w="0" w:type="dxa"/>
            <w:right w:w="108" w:type="dxa"/>
          </w:tblCellMar>
        </w:tblPrEx>
        <w:trPr>
          <w:trHeight w:val="288" w:hRule="atLeast"/>
        </w:trPr>
        <w:tc>
          <w:tcPr>
            <w:tcW w:w="182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77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117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122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r>
      <w:tr>
        <w:tblPrEx>
          <w:tblCellMar>
            <w:top w:w="0" w:type="dxa"/>
            <w:left w:w="108" w:type="dxa"/>
            <w:bottom w:w="0" w:type="dxa"/>
            <w:right w:w="108" w:type="dxa"/>
          </w:tblCellMar>
        </w:tblPrEx>
        <w:trPr>
          <w:trHeight w:val="288" w:hRule="atLeast"/>
        </w:trPr>
        <w:tc>
          <w:tcPr>
            <w:tcW w:w="182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NET PROFIT/LOSS BEFORE TAXES</w:t>
            </w:r>
          </w:p>
        </w:tc>
        <w:tc>
          <w:tcPr>
            <w:tcW w:w="77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$75,305.00 </w:t>
            </w:r>
          </w:p>
        </w:tc>
        <w:tc>
          <w:tcPr>
            <w:tcW w:w="117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$111,710.50 </w:t>
            </w:r>
          </w:p>
        </w:tc>
        <w:tc>
          <w:tcPr>
            <w:tcW w:w="122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$149,299.00 </w:t>
            </w:r>
          </w:p>
        </w:tc>
      </w:tr>
      <w:tr>
        <w:tblPrEx>
          <w:tblCellMar>
            <w:top w:w="0" w:type="dxa"/>
            <w:left w:w="108" w:type="dxa"/>
            <w:bottom w:w="0" w:type="dxa"/>
            <w:right w:w="108" w:type="dxa"/>
          </w:tblCellMar>
        </w:tblPrEx>
        <w:trPr>
          <w:trHeight w:val="288" w:hRule="atLeast"/>
        </w:trPr>
        <w:tc>
          <w:tcPr>
            <w:tcW w:w="182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77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117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122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r>
      <w:tr>
        <w:tblPrEx>
          <w:tblCellMar>
            <w:top w:w="0" w:type="dxa"/>
            <w:left w:w="108" w:type="dxa"/>
            <w:bottom w:w="0" w:type="dxa"/>
            <w:right w:w="108" w:type="dxa"/>
          </w:tblCellMar>
        </w:tblPrEx>
        <w:trPr>
          <w:trHeight w:val="288" w:hRule="atLeast"/>
        </w:trPr>
        <w:tc>
          <w:tcPr>
            <w:tcW w:w="182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Income Taxes</w:t>
            </w:r>
          </w:p>
        </w:tc>
        <w:tc>
          <w:tcPr>
            <w:tcW w:w="77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$15,814.05 </w:t>
            </w:r>
          </w:p>
        </w:tc>
        <w:tc>
          <w:tcPr>
            <w:tcW w:w="117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$23,459.21 </w:t>
            </w:r>
          </w:p>
        </w:tc>
        <w:tc>
          <w:tcPr>
            <w:tcW w:w="122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$31,352.79 </w:t>
            </w:r>
          </w:p>
        </w:tc>
      </w:tr>
      <w:tr>
        <w:tblPrEx>
          <w:tblCellMar>
            <w:top w:w="0" w:type="dxa"/>
            <w:left w:w="108" w:type="dxa"/>
            <w:bottom w:w="0" w:type="dxa"/>
            <w:right w:w="108" w:type="dxa"/>
          </w:tblCellMar>
        </w:tblPrEx>
        <w:trPr>
          <w:trHeight w:val="288" w:hRule="atLeast"/>
        </w:trPr>
        <w:tc>
          <w:tcPr>
            <w:tcW w:w="182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NET PROFIT/LOSS AFTER TAX</w:t>
            </w:r>
          </w:p>
        </w:tc>
        <w:tc>
          <w:tcPr>
            <w:tcW w:w="77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$59,490.95 </w:t>
            </w:r>
          </w:p>
        </w:tc>
        <w:tc>
          <w:tcPr>
            <w:tcW w:w="117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$88,251.30 </w:t>
            </w:r>
          </w:p>
        </w:tc>
        <w:tc>
          <w:tcPr>
            <w:tcW w:w="122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$117,946.21 </w:t>
            </w:r>
          </w:p>
        </w:tc>
      </w:tr>
      <w:tr>
        <w:tblPrEx>
          <w:tblCellMar>
            <w:top w:w="0" w:type="dxa"/>
            <w:left w:w="108" w:type="dxa"/>
            <w:bottom w:w="0" w:type="dxa"/>
            <w:right w:w="108" w:type="dxa"/>
          </w:tblCellMar>
        </w:tblPrEx>
        <w:trPr>
          <w:trHeight w:val="288" w:hRule="atLeast"/>
        </w:trPr>
        <w:tc>
          <w:tcPr>
            <w:tcW w:w="182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77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117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122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r>
      <w:tr>
        <w:tblPrEx>
          <w:tblCellMar>
            <w:top w:w="0" w:type="dxa"/>
            <w:left w:w="108" w:type="dxa"/>
            <w:bottom w:w="0" w:type="dxa"/>
            <w:right w:w="108" w:type="dxa"/>
          </w:tblCellMar>
        </w:tblPrEx>
        <w:trPr>
          <w:trHeight w:val="288" w:hRule="atLeast"/>
        </w:trPr>
        <w:tc>
          <w:tcPr>
            <w:tcW w:w="182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Owner draw or dividends</w:t>
            </w:r>
          </w:p>
        </w:tc>
        <w:tc>
          <w:tcPr>
            <w:tcW w:w="77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$5,000.00 </w:t>
            </w:r>
          </w:p>
        </w:tc>
        <w:tc>
          <w:tcPr>
            <w:tcW w:w="117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$10,000.00 </w:t>
            </w:r>
          </w:p>
        </w:tc>
        <w:tc>
          <w:tcPr>
            <w:tcW w:w="122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$15,000.00 </w:t>
            </w:r>
          </w:p>
        </w:tc>
      </w:tr>
      <w:tr>
        <w:tblPrEx>
          <w:tblCellMar>
            <w:top w:w="0" w:type="dxa"/>
            <w:left w:w="108" w:type="dxa"/>
            <w:bottom w:w="0" w:type="dxa"/>
            <w:right w:w="108" w:type="dxa"/>
          </w:tblCellMar>
        </w:tblPrEx>
        <w:trPr>
          <w:trHeight w:val="288" w:hRule="atLeast"/>
        </w:trPr>
        <w:tc>
          <w:tcPr>
            <w:tcW w:w="182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RETAINED EARNINGS</w:t>
            </w:r>
          </w:p>
        </w:tc>
        <w:tc>
          <w:tcPr>
            <w:tcW w:w="77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$54,490.95 </w:t>
            </w:r>
          </w:p>
        </w:tc>
        <w:tc>
          <w:tcPr>
            <w:tcW w:w="117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$78,251.30 </w:t>
            </w:r>
          </w:p>
        </w:tc>
        <w:tc>
          <w:tcPr>
            <w:tcW w:w="1229"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$102,946.21 </w:t>
            </w:r>
          </w:p>
        </w:tc>
      </w:tr>
    </w:tbl>
    <w:p>
      <w:pPr>
        <w:spacing w:after="0" w:line="480" w:lineRule="auto"/>
        <w:rPr>
          <w:rFonts w:ascii="Times New Roman" w:hAnsi="Times New Roman" w:cs="Times New Roman"/>
          <w:color w:val="000000" w:themeColor="text1"/>
          <w:sz w:val="24"/>
          <w:szCs w:val="24"/>
        </w:rPr>
      </w:pPr>
    </w:p>
    <w:p>
      <w:pPr>
        <w:spacing w:after="0"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drawing>
          <wp:inline distT="0" distB="0" distL="114300" distR="114300">
            <wp:extent cx="4690110" cy="1842135"/>
            <wp:effectExtent l="19050" t="0" r="14829" b="5565"/>
            <wp:docPr id="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pPr>
        <w:pStyle w:val="3"/>
        <w:spacing w:before="0" w:line="480" w:lineRule="auto"/>
        <w:rPr>
          <w:rFonts w:ascii="Times New Roman" w:hAnsi="Times New Roman" w:cs="Times New Roman"/>
          <w:color w:val="000000" w:themeColor="text1"/>
          <w:sz w:val="24"/>
          <w:szCs w:val="24"/>
        </w:rPr>
      </w:pPr>
      <w:bookmarkStart w:id="35" w:name="_Toc65147165"/>
      <w:r>
        <w:rPr>
          <w:rFonts w:ascii="Times New Roman" w:hAnsi="Times New Roman" w:cs="Times New Roman"/>
          <w:color w:val="000000" w:themeColor="text1"/>
          <w:sz w:val="24"/>
          <w:szCs w:val="24"/>
        </w:rPr>
        <w:t>7.3 Projected Cash Flow</w:t>
      </w:r>
      <w:bookmarkEnd w:id="35"/>
    </w:p>
    <w:p>
      <w:p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The projected cash flow helps the management to critically identify and evaluate the success of the company (Galai, Hillel and Wiener, 2016). The cash flow for the company on monthly basis has been prepared and presented below for the year 2022 and cash flows for 2023 and 2024 attached in the appendices section:</w:t>
      </w:r>
    </w:p>
    <w:p>
      <w:p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Projected Cash Flow</w:t>
      </w:r>
    </w:p>
    <w:tbl>
      <w:tblPr>
        <w:tblStyle w:val="6"/>
        <w:tblW w:w="5000" w:type="pct"/>
        <w:tblInd w:w="0" w:type="dxa"/>
        <w:tblLayout w:type="autofit"/>
        <w:tblCellMar>
          <w:top w:w="0" w:type="dxa"/>
          <w:left w:w="108" w:type="dxa"/>
          <w:bottom w:w="0" w:type="dxa"/>
          <w:right w:w="108" w:type="dxa"/>
        </w:tblCellMar>
      </w:tblPr>
      <w:tblGrid>
        <w:gridCol w:w="1344"/>
        <w:gridCol w:w="857"/>
        <w:gridCol w:w="548"/>
        <w:gridCol w:w="549"/>
        <w:gridCol w:w="538"/>
        <w:gridCol w:w="538"/>
        <w:gridCol w:w="538"/>
        <w:gridCol w:w="538"/>
        <w:gridCol w:w="538"/>
        <w:gridCol w:w="538"/>
        <w:gridCol w:w="538"/>
        <w:gridCol w:w="572"/>
        <w:gridCol w:w="572"/>
        <w:gridCol w:w="572"/>
        <w:gridCol w:w="796"/>
      </w:tblGrid>
      <w:tr>
        <w:tblPrEx>
          <w:tblCellMar>
            <w:top w:w="0" w:type="dxa"/>
            <w:left w:w="108" w:type="dxa"/>
            <w:bottom w:w="0" w:type="dxa"/>
            <w:right w:w="108" w:type="dxa"/>
          </w:tblCellMar>
        </w:tblPrEx>
        <w:trPr>
          <w:trHeight w:val="288" w:hRule="atLeast"/>
        </w:trPr>
        <w:tc>
          <w:tcPr>
            <w:tcW w:w="5000" w:type="pct"/>
            <w:gridSpan w:val="15"/>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center"/>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STATEMENT OF CASH FLOWS</w:t>
            </w:r>
          </w:p>
        </w:tc>
      </w:tr>
      <w:tr>
        <w:tblPrEx>
          <w:tblCellMar>
            <w:top w:w="0" w:type="dxa"/>
            <w:left w:w="108" w:type="dxa"/>
            <w:bottom w:w="0" w:type="dxa"/>
            <w:right w:w="108" w:type="dxa"/>
          </w:tblCellMar>
        </w:tblPrEx>
        <w:trPr>
          <w:trHeight w:val="288" w:hRule="atLeast"/>
        </w:trPr>
        <w:tc>
          <w:tcPr>
            <w:tcW w:w="5000" w:type="pct"/>
            <w:gridSpan w:val="15"/>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center"/>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Carnival Row Tech Consulting Limited</w:t>
            </w:r>
          </w:p>
        </w:tc>
      </w:tr>
      <w:tr>
        <w:tblPrEx>
          <w:tblCellMar>
            <w:top w:w="0" w:type="dxa"/>
            <w:left w:w="108" w:type="dxa"/>
            <w:bottom w:w="0" w:type="dxa"/>
            <w:right w:w="108" w:type="dxa"/>
          </w:tblCellMar>
        </w:tblPrEx>
        <w:trPr>
          <w:trHeight w:val="288" w:hRule="atLeast"/>
        </w:trPr>
        <w:tc>
          <w:tcPr>
            <w:tcW w:w="8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Category</w:t>
            </w:r>
          </w:p>
        </w:tc>
        <w:tc>
          <w:tcPr>
            <w:tcW w:w="45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Pre Start Up Estimate</w:t>
            </w:r>
          </w:p>
        </w:tc>
        <w:tc>
          <w:tcPr>
            <w:tcW w:w="2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Month 1</w:t>
            </w:r>
          </w:p>
        </w:tc>
        <w:tc>
          <w:tcPr>
            <w:tcW w:w="2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Month 2</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Month 3</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Month 4</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Month 5</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Month 6</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Month 7</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Month 8</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Month 9</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Month 10</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Month 11</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Month 12</w:t>
            </w:r>
          </w:p>
        </w:tc>
        <w:tc>
          <w:tcPr>
            <w:tcW w:w="42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Total Item Estimate</w:t>
            </w:r>
          </w:p>
        </w:tc>
      </w:tr>
      <w:tr>
        <w:tblPrEx>
          <w:tblCellMar>
            <w:top w:w="0" w:type="dxa"/>
            <w:left w:w="108" w:type="dxa"/>
            <w:bottom w:w="0" w:type="dxa"/>
            <w:right w:w="108" w:type="dxa"/>
          </w:tblCellMar>
        </w:tblPrEx>
        <w:trPr>
          <w:trHeight w:val="288" w:hRule="atLeast"/>
        </w:trPr>
        <w:tc>
          <w:tcPr>
            <w:tcW w:w="8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45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42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r>
      <w:tr>
        <w:tblPrEx>
          <w:tblCellMar>
            <w:top w:w="0" w:type="dxa"/>
            <w:left w:w="108" w:type="dxa"/>
            <w:bottom w:w="0" w:type="dxa"/>
            <w:right w:w="108" w:type="dxa"/>
          </w:tblCellMar>
        </w:tblPrEx>
        <w:trPr>
          <w:trHeight w:val="288" w:hRule="atLeast"/>
        </w:trPr>
        <w:tc>
          <w:tcPr>
            <w:tcW w:w="8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Cash on Hand (Equity)</w:t>
            </w:r>
          </w:p>
        </w:tc>
        <w:tc>
          <w:tcPr>
            <w:tcW w:w="45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$50,000.00 </w:t>
            </w:r>
          </w:p>
        </w:tc>
        <w:tc>
          <w:tcPr>
            <w:tcW w:w="2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$(4,292.92)</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$4,049.17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$12,391.25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$20,733.33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$29,075.42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$37,417.50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$45,759.58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$54,101.67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$62,443.75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$70,785.83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$79,127.92 </w:t>
            </w:r>
          </w:p>
        </w:tc>
        <w:tc>
          <w:tcPr>
            <w:tcW w:w="42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$461,592.50 </w:t>
            </w:r>
          </w:p>
        </w:tc>
      </w:tr>
      <w:tr>
        <w:tblPrEx>
          <w:tblCellMar>
            <w:top w:w="0" w:type="dxa"/>
            <w:left w:w="108" w:type="dxa"/>
            <w:bottom w:w="0" w:type="dxa"/>
            <w:right w:w="108" w:type="dxa"/>
          </w:tblCellMar>
        </w:tblPrEx>
        <w:trPr>
          <w:trHeight w:val="288" w:hRule="atLeast"/>
        </w:trPr>
        <w:tc>
          <w:tcPr>
            <w:tcW w:w="8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45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42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r>
      <w:tr>
        <w:tblPrEx>
          <w:tblCellMar>
            <w:top w:w="0" w:type="dxa"/>
            <w:left w:w="108" w:type="dxa"/>
            <w:bottom w:w="0" w:type="dxa"/>
            <w:right w:w="108" w:type="dxa"/>
          </w:tblCellMar>
        </w:tblPrEx>
        <w:trPr>
          <w:trHeight w:val="288" w:hRule="atLeast"/>
        </w:trPr>
        <w:tc>
          <w:tcPr>
            <w:tcW w:w="8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Cash Receipts</w:t>
            </w:r>
          </w:p>
        </w:tc>
        <w:tc>
          <w:tcPr>
            <w:tcW w:w="45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42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r>
      <w:tr>
        <w:tblPrEx>
          <w:tblCellMar>
            <w:top w:w="0" w:type="dxa"/>
            <w:left w:w="108" w:type="dxa"/>
            <w:bottom w:w="0" w:type="dxa"/>
            <w:right w:w="108" w:type="dxa"/>
          </w:tblCellMar>
        </w:tblPrEx>
        <w:trPr>
          <w:trHeight w:val="288" w:hRule="atLeast"/>
        </w:trPr>
        <w:tc>
          <w:tcPr>
            <w:tcW w:w="8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Cash Sales</w:t>
            </w:r>
          </w:p>
        </w:tc>
        <w:tc>
          <w:tcPr>
            <w:tcW w:w="45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$29,481.67 </w:t>
            </w:r>
          </w:p>
        </w:tc>
        <w:tc>
          <w:tcPr>
            <w:tcW w:w="2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$29,481.67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$29,481.67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$29,481.67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$29,481.67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$29,481.67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$29,481.67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$29,481.67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$29,481.67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$29,481.67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$29,481.67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$29,481.67 </w:t>
            </w:r>
          </w:p>
        </w:tc>
        <w:tc>
          <w:tcPr>
            <w:tcW w:w="42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$353,780.00 </w:t>
            </w:r>
          </w:p>
        </w:tc>
      </w:tr>
      <w:tr>
        <w:tblPrEx>
          <w:tblCellMar>
            <w:top w:w="0" w:type="dxa"/>
            <w:left w:w="108" w:type="dxa"/>
            <w:bottom w:w="0" w:type="dxa"/>
            <w:right w:w="108" w:type="dxa"/>
          </w:tblCellMar>
        </w:tblPrEx>
        <w:trPr>
          <w:trHeight w:val="288" w:hRule="atLeast"/>
        </w:trPr>
        <w:tc>
          <w:tcPr>
            <w:tcW w:w="8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Collections from credit accounts</w:t>
            </w:r>
          </w:p>
        </w:tc>
        <w:tc>
          <w:tcPr>
            <w:tcW w:w="45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$12,635.00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$12,635.00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$12,635.00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$12,635.00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$12,635.00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$12,635.00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$12,635.00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$12,635.00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$12,635.00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$12,635.00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$12,635.00 </w:t>
            </w:r>
          </w:p>
        </w:tc>
        <w:tc>
          <w:tcPr>
            <w:tcW w:w="42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$138,985.00 </w:t>
            </w:r>
          </w:p>
        </w:tc>
      </w:tr>
      <w:tr>
        <w:tblPrEx>
          <w:tblCellMar>
            <w:top w:w="0" w:type="dxa"/>
            <w:left w:w="108" w:type="dxa"/>
            <w:bottom w:w="0" w:type="dxa"/>
            <w:right w:w="108" w:type="dxa"/>
          </w:tblCellMar>
        </w:tblPrEx>
        <w:trPr>
          <w:trHeight w:val="288" w:hRule="atLeast"/>
        </w:trPr>
        <w:tc>
          <w:tcPr>
            <w:tcW w:w="8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Cash from Loans or other outside sources</w:t>
            </w:r>
          </w:p>
        </w:tc>
        <w:tc>
          <w:tcPr>
            <w:tcW w:w="45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$50,000.00 </w:t>
            </w:r>
          </w:p>
        </w:tc>
        <w:tc>
          <w:tcPr>
            <w:tcW w:w="2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42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$50,000.00 </w:t>
            </w:r>
          </w:p>
        </w:tc>
      </w:tr>
      <w:tr>
        <w:tblPrEx>
          <w:tblCellMar>
            <w:top w:w="0" w:type="dxa"/>
            <w:left w:w="108" w:type="dxa"/>
            <w:bottom w:w="0" w:type="dxa"/>
            <w:right w:w="108" w:type="dxa"/>
          </w:tblCellMar>
        </w:tblPrEx>
        <w:trPr>
          <w:trHeight w:val="288" w:hRule="atLeast"/>
        </w:trPr>
        <w:tc>
          <w:tcPr>
            <w:tcW w:w="8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TOTAL CASH RECEIPTS</w:t>
            </w:r>
          </w:p>
        </w:tc>
        <w:tc>
          <w:tcPr>
            <w:tcW w:w="45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$50,000.00 </w:t>
            </w:r>
          </w:p>
        </w:tc>
        <w:tc>
          <w:tcPr>
            <w:tcW w:w="2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$29,481.67 </w:t>
            </w:r>
          </w:p>
        </w:tc>
        <w:tc>
          <w:tcPr>
            <w:tcW w:w="2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$42,116.67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$42,116.67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$42,116.67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$42,116.67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$42,116.67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$42,116.67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$42,116.67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$42,116.67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$42,116.67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$42,116.67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$42,116.67 </w:t>
            </w:r>
          </w:p>
        </w:tc>
        <w:tc>
          <w:tcPr>
            <w:tcW w:w="42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$542,765.00 </w:t>
            </w:r>
          </w:p>
        </w:tc>
      </w:tr>
      <w:tr>
        <w:tblPrEx>
          <w:tblCellMar>
            <w:top w:w="0" w:type="dxa"/>
            <w:left w:w="108" w:type="dxa"/>
            <w:bottom w:w="0" w:type="dxa"/>
            <w:right w:w="108" w:type="dxa"/>
          </w:tblCellMar>
        </w:tblPrEx>
        <w:trPr>
          <w:trHeight w:val="288" w:hRule="atLeast"/>
        </w:trPr>
        <w:tc>
          <w:tcPr>
            <w:tcW w:w="8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Total cash available</w:t>
            </w:r>
          </w:p>
        </w:tc>
        <w:tc>
          <w:tcPr>
            <w:tcW w:w="45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$100,000.00 </w:t>
            </w:r>
          </w:p>
        </w:tc>
        <w:tc>
          <w:tcPr>
            <w:tcW w:w="2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$29,481.67 </w:t>
            </w:r>
          </w:p>
        </w:tc>
        <w:tc>
          <w:tcPr>
            <w:tcW w:w="2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$37,823.75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$46,165.83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$54,507.92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$62,850.00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$71,192.08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$79,534.17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$87,876.25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$96,218.33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$104,560.42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$112,902.50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$121,244.58 </w:t>
            </w:r>
          </w:p>
        </w:tc>
        <w:tc>
          <w:tcPr>
            <w:tcW w:w="42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$1,004,357.50 </w:t>
            </w:r>
          </w:p>
        </w:tc>
      </w:tr>
      <w:tr>
        <w:tblPrEx>
          <w:tblCellMar>
            <w:top w:w="0" w:type="dxa"/>
            <w:left w:w="108" w:type="dxa"/>
            <w:bottom w:w="0" w:type="dxa"/>
            <w:right w:w="108" w:type="dxa"/>
          </w:tblCellMar>
        </w:tblPrEx>
        <w:trPr>
          <w:trHeight w:val="288" w:hRule="atLeast"/>
        </w:trPr>
        <w:tc>
          <w:tcPr>
            <w:tcW w:w="8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45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42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r>
      <w:tr>
        <w:tblPrEx>
          <w:tblCellMar>
            <w:top w:w="0" w:type="dxa"/>
            <w:left w:w="108" w:type="dxa"/>
            <w:bottom w:w="0" w:type="dxa"/>
            <w:right w:w="108" w:type="dxa"/>
          </w:tblCellMar>
        </w:tblPrEx>
        <w:trPr>
          <w:trHeight w:val="288" w:hRule="atLeast"/>
        </w:trPr>
        <w:tc>
          <w:tcPr>
            <w:tcW w:w="8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Cash Paid Out</w:t>
            </w:r>
          </w:p>
        </w:tc>
        <w:tc>
          <w:tcPr>
            <w:tcW w:w="45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42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r>
      <w:tr>
        <w:tblPrEx>
          <w:tblCellMar>
            <w:top w:w="0" w:type="dxa"/>
            <w:left w:w="108" w:type="dxa"/>
            <w:bottom w:w="0" w:type="dxa"/>
            <w:right w:w="108" w:type="dxa"/>
          </w:tblCellMar>
        </w:tblPrEx>
        <w:trPr>
          <w:trHeight w:val="288" w:hRule="atLeast"/>
        </w:trPr>
        <w:tc>
          <w:tcPr>
            <w:tcW w:w="8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Salary (Office &amp; Overhead)</w:t>
            </w:r>
          </w:p>
        </w:tc>
        <w:tc>
          <w:tcPr>
            <w:tcW w:w="45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$16,667 </w:t>
            </w:r>
          </w:p>
        </w:tc>
        <w:tc>
          <w:tcPr>
            <w:tcW w:w="2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$16,667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$16,667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$16,667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$16,667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$16,667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$16,667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$16,667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$16,667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$16,667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$16,667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$16,667 </w:t>
            </w:r>
          </w:p>
        </w:tc>
        <w:tc>
          <w:tcPr>
            <w:tcW w:w="42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$200,000 </w:t>
            </w:r>
          </w:p>
        </w:tc>
      </w:tr>
      <w:tr>
        <w:tblPrEx>
          <w:tblCellMar>
            <w:top w:w="0" w:type="dxa"/>
            <w:left w:w="108" w:type="dxa"/>
            <w:bottom w:w="0" w:type="dxa"/>
            <w:right w:w="108" w:type="dxa"/>
          </w:tblCellMar>
        </w:tblPrEx>
        <w:trPr>
          <w:trHeight w:val="288" w:hRule="atLeast"/>
        </w:trPr>
        <w:tc>
          <w:tcPr>
            <w:tcW w:w="8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Cost of service</w:t>
            </w:r>
          </w:p>
        </w:tc>
        <w:tc>
          <w:tcPr>
            <w:tcW w:w="45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$13,362 </w:t>
            </w:r>
          </w:p>
        </w:tc>
        <w:tc>
          <w:tcPr>
            <w:tcW w:w="2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$13,362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$13,362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$13,362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$13,362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$13,362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$13,362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$13,362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$13,362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$13,362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$13,362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$13,362 </w:t>
            </w:r>
          </w:p>
        </w:tc>
        <w:tc>
          <w:tcPr>
            <w:tcW w:w="42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$160,345 </w:t>
            </w:r>
          </w:p>
        </w:tc>
      </w:tr>
      <w:tr>
        <w:tblPrEx>
          <w:tblCellMar>
            <w:top w:w="0" w:type="dxa"/>
            <w:left w:w="108" w:type="dxa"/>
            <w:bottom w:w="0" w:type="dxa"/>
            <w:right w:w="108" w:type="dxa"/>
          </w:tblCellMar>
        </w:tblPrEx>
        <w:trPr>
          <w:trHeight w:val="288" w:hRule="atLeast"/>
        </w:trPr>
        <w:tc>
          <w:tcPr>
            <w:tcW w:w="8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Lease</w:t>
            </w:r>
          </w:p>
        </w:tc>
        <w:tc>
          <w:tcPr>
            <w:tcW w:w="45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$3,000 </w:t>
            </w:r>
          </w:p>
        </w:tc>
        <w:tc>
          <w:tcPr>
            <w:tcW w:w="2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42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$3,000 </w:t>
            </w:r>
          </w:p>
        </w:tc>
      </w:tr>
      <w:tr>
        <w:tblPrEx>
          <w:tblCellMar>
            <w:top w:w="0" w:type="dxa"/>
            <w:left w:w="108" w:type="dxa"/>
            <w:bottom w:w="0" w:type="dxa"/>
            <w:right w:w="108" w:type="dxa"/>
          </w:tblCellMar>
        </w:tblPrEx>
        <w:trPr>
          <w:trHeight w:val="288" w:hRule="atLeast"/>
        </w:trPr>
        <w:tc>
          <w:tcPr>
            <w:tcW w:w="8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Outside Services</w:t>
            </w:r>
          </w:p>
        </w:tc>
        <w:tc>
          <w:tcPr>
            <w:tcW w:w="45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$1,250 </w:t>
            </w:r>
          </w:p>
        </w:tc>
        <w:tc>
          <w:tcPr>
            <w:tcW w:w="2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$1,250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$1,250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$1,250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$1,250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$1,250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$1,250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$1,250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$1,250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$1,250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$1,250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$1,250 </w:t>
            </w:r>
          </w:p>
        </w:tc>
        <w:tc>
          <w:tcPr>
            <w:tcW w:w="42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$15,000 </w:t>
            </w:r>
          </w:p>
        </w:tc>
      </w:tr>
      <w:tr>
        <w:tblPrEx>
          <w:tblCellMar>
            <w:top w:w="0" w:type="dxa"/>
            <w:left w:w="108" w:type="dxa"/>
            <w:bottom w:w="0" w:type="dxa"/>
            <w:right w:w="108" w:type="dxa"/>
          </w:tblCellMar>
        </w:tblPrEx>
        <w:trPr>
          <w:trHeight w:val="288" w:hRule="atLeast"/>
        </w:trPr>
        <w:tc>
          <w:tcPr>
            <w:tcW w:w="8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Registration</w:t>
            </w:r>
          </w:p>
        </w:tc>
        <w:tc>
          <w:tcPr>
            <w:tcW w:w="45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$1,600 </w:t>
            </w:r>
          </w:p>
        </w:tc>
        <w:tc>
          <w:tcPr>
            <w:tcW w:w="2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42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$1,600 </w:t>
            </w:r>
          </w:p>
        </w:tc>
      </w:tr>
      <w:tr>
        <w:tblPrEx>
          <w:tblCellMar>
            <w:top w:w="0" w:type="dxa"/>
            <w:left w:w="108" w:type="dxa"/>
            <w:bottom w:w="0" w:type="dxa"/>
            <w:right w:w="108" w:type="dxa"/>
          </w:tblCellMar>
        </w:tblPrEx>
        <w:trPr>
          <w:trHeight w:val="288" w:hRule="atLeast"/>
        </w:trPr>
        <w:tc>
          <w:tcPr>
            <w:tcW w:w="8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Repairs &amp; Maintenance</w:t>
            </w:r>
          </w:p>
        </w:tc>
        <w:tc>
          <w:tcPr>
            <w:tcW w:w="45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$1,250 </w:t>
            </w:r>
          </w:p>
        </w:tc>
        <w:tc>
          <w:tcPr>
            <w:tcW w:w="2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$1,250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$1,250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$1,250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$1,250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$1,250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$1,250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$1,250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$1,250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$1,250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$1,250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$1,250 </w:t>
            </w:r>
          </w:p>
        </w:tc>
        <w:tc>
          <w:tcPr>
            <w:tcW w:w="42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$15,000 </w:t>
            </w:r>
          </w:p>
        </w:tc>
      </w:tr>
      <w:tr>
        <w:tblPrEx>
          <w:tblCellMar>
            <w:top w:w="0" w:type="dxa"/>
            <w:left w:w="108" w:type="dxa"/>
            <w:bottom w:w="0" w:type="dxa"/>
            <w:right w:w="108" w:type="dxa"/>
          </w:tblCellMar>
        </w:tblPrEx>
        <w:trPr>
          <w:trHeight w:val="288" w:hRule="atLeast"/>
        </w:trPr>
        <w:tc>
          <w:tcPr>
            <w:tcW w:w="8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Advertising</w:t>
            </w:r>
          </w:p>
        </w:tc>
        <w:tc>
          <w:tcPr>
            <w:tcW w:w="45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$6,000 </w:t>
            </w:r>
          </w:p>
        </w:tc>
        <w:tc>
          <w:tcPr>
            <w:tcW w:w="2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42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$6,000 </w:t>
            </w:r>
          </w:p>
        </w:tc>
      </w:tr>
      <w:tr>
        <w:tblPrEx>
          <w:tblCellMar>
            <w:top w:w="0" w:type="dxa"/>
            <w:left w:w="108" w:type="dxa"/>
            <w:bottom w:w="0" w:type="dxa"/>
            <w:right w:w="108" w:type="dxa"/>
          </w:tblCellMar>
        </w:tblPrEx>
        <w:trPr>
          <w:trHeight w:val="288" w:hRule="atLeast"/>
        </w:trPr>
        <w:tc>
          <w:tcPr>
            <w:tcW w:w="8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Car, Delivery, Travel</w:t>
            </w:r>
          </w:p>
        </w:tc>
        <w:tc>
          <w:tcPr>
            <w:tcW w:w="45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$208 </w:t>
            </w:r>
          </w:p>
        </w:tc>
        <w:tc>
          <w:tcPr>
            <w:tcW w:w="2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$208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$208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$208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$208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$208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$208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$208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$208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$208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$208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$208 </w:t>
            </w:r>
          </w:p>
        </w:tc>
        <w:tc>
          <w:tcPr>
            <w:tcW w:w="42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$2,500 </w:t>
            </w:r>
          </w:p>
        </w:tc>
      </w:tr>
      <w:tr>
        <w:tblPrEx>
          <w:tblCellMar>
            <w:top w:w="0" w:type="dxa"/>
            <w:left w:w="108" w:type="dxa"/>
            <w:bottom w:w="0" w:type="dxa"/>
            <w:right w:w="108" w:type="dxa"/>
          </w:tblCellMar>
        </w:tblPrEx>
        <w:trPr>
          <w:trHeight w:val="288" w:hRule="atLeast"/>
        </w:trPr>
        <w:tc>
          <w:tcPr>
            <w:tcW w:w="8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Accounting Expenses</w:t>
            </w:r>
          </w:p>
        </w:tc>
        <w:tc>
          <w:tcPr>
            <w:tcW w:w="45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$2,000 </w:t>
            </w:r>
          </w:p>
        </w:tc>
        <w:tc>
          <w:tcPr>
            <w:tcW w:w="2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42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$2,000 </w:t>
            </w:r>
          </w:p>
        </w:tc>
      </w:tr>
      <w:tr>
        <w:tblPrEx>
          <w:tblCellMar>
            <w:top w:w="0" w:type="dxa"/>
            <w:left w:w="108" w:type="dxa"/>
            <w:bottom w:w="0" w:type="dxa"/>
            <w:right w:w="108" w:type="dxa"/>
          </w:tblCellMar>
        </w:tblPrEx>
        <w:trPr>
          <w:trHeight w:val="288" w:hRule="atLeast"/>
        </w:trPr>
        <w:tc>
          <w:tcPr>
            <w:tcW w:w="8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Legal Expenses</w:t>
            </w:r>
          </w:p>
        </w:tc>
        <w:tc>
          <w:tcPr>
            <w:tcW w:w="45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$800 </w:t>
            </w:r>
          </w:p>
        </w:tc>
        <w:tc>
          <w:tcPr>
            <w:tcW w:w="2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42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$800 </w:t>
            </w:r>
          </w:p>
        </w:tc>
      </w:tr>
      <w:tr>
        <w:tblPrEx>
          <w:tblCellMar>
            <w:top w:w="0" w:type="dxa"/>
            <w:left w:w="108" w:type="dxa"/>
            <w:bottom w:w="0" w:type="dxa"/>
            <w:right w:w="108" w:type="dxa"/>
          </w:tblCellMar>
        </w:tblPrEx>
        <w:trPr>
          <w:trHeight w:val="288" w:hRule="atLeast"/>
        </w:trPr>
        <w:tc>
          <w:tcPr>
            <w:tcW w:w="8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Telephone</w:t>
            </w:r>
          </w:p>
        </w:tc>
        <w:tc>
          <w:tcPr>
            <w:tcW w:w="45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$121 </w:t>
            </w:r>
          </w:p>
        </w:tc>
        <w:tc>
          <w:tcPr>
            <w:tcW w:w="2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$121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$121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$121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$121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$121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$121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$121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$121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$121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$121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$121 </w:t>
            </w:r>
          </w:p>
        </w:tc>
        <w:tc>
          <w:tcPr>
            <w:tcW w:w="42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$1,450 </w:t>
            </w:r>
          </w:p>
        </w:tc>
      </w:tr>
      <w:tr>
        <w:tblPrEx>
          <w:tblCellMar>
            <w:top w:w="0" w:type="dxa"/>
            <w:left w:w="108" w:type="dxa"/>
            <w:bottom w:w="0" w:type="dxa"/>
            <w:right w:w="108" w:type="dxa"/>
          </w:tblCellMar>
        </w:tblPrEx>
        <w:trPr>
          <w:trHeight w:val="288" w:hRule="atLeast"/>
        </w:trPr>
        <w:tc>
          <w:tcPr>
            <w:tcW w:w="8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Utilities</w:t>
            </w:r>
          </w:p>
        </w:tc>
        <w:tc>
          <w:tcPr>
            <w:tcW w:w="45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$42 </w:t>
            </w:r>
          </w:p>
        </w:tc>
        <w:tc>
          <w:tcPr>
            <w:tcW w:w="2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$42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$42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$42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$42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$42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$42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$42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$42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$42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$42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$42 </w:t>
            </w:r>
          </w:p>
        </w:tc>
        <w:tc>
          <w:tcPr>
            <w:tcW w:w="42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$500 </w:t>
            </w:r>
          </w:p>
        </w:tc>
      </w:tr>
      <w:tr>
        <w:tblPrEx>
          <w:tblCellMar>
            <w:top w:w="0" w:type="dxa"/>
            <w:left w:w="108" w:type="dxa"/>
            <w:bottom w:w="0" w:type="dxa"/>
            <w:right w:w="108" w:type="dxa"/>
          </w:tblCellMar>
        </w:tblPrEx>
        <w:trPr>
          <w:trHeight w:val="288" w:hRule="atLeast"/>
        </w:trPr>
        <w:tc>
          <w:tcPr>
            <w:tcW w:w="8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Insurance</w:t>
            </w:r>
          </w:p>
        </w:tc>
        <w:tc>
          <w:tcPr>
            <w:tcW w:w="45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$300 </w:t>
            </w:r>
          </w:p>
        </w:tc>
        <w:tc>
          <w:tcPr>
            <w:tcW w:w="2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42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$300 </w:t>
            </w:r>
          </w:p>
        </w:tc>
      </w:tr>
      <w:tr>
        <w:tblPrEx>
          <w:tblCellMar>
            <w:top w:w="0" w:type="dxa"/>
            <w:left w:w="108" w:type="dxa"/>
            <w:bottom w:w="0" w:type="dxa"/>
            <w:right w:w="108" w:type="dxa"/>
          </w:tblCellMar>
        </w:tblPrEx>
        <w:trPr>
          <w:trHeight w:val="288" w:hRule="atLeast"/>
        </w:trPr>
        <w:tc>
          <w:tcPr>
            <w:tcW w:w="8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Stationery</w:t>
            </w:r>
          </w:p>
        </w:tc>
        <w:tc>
          <w:tcPr>
            <w:tcW w:w="45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$4,000 </w:t>
            </w:r>
          </w:p>
        </w:tc>
        <w:tc>
          <w:tcPr>
            <w:tcW w:w="2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42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$4,000 </w:t>
            </w:r>
          </w:p>
        </w:tc>
      </w:tr>
      <w:tr>
        <w:tblPrEx>
          <w:tblCellMar>
            <w:top w:w="0" w:type="dxa"/>
            <w:left w:w="108" w:type="dxa"/>
            <w:bottom w:w="0" w:type="dxa"/>
            <w:right w:w="108" w:type="dxa"/>
          </w:tblCellMar>
        </w:tblPrEx>
        <w:trPr>
          <w:trHeight w:val="288" w:hRule="atLeast"/>
        </w:trPr>
        <w:tc>
          <w:tcPr>
            <w:tcW w:w="8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Miscellaneous</w:t>
            </w:r>
          </w:p>
        </w:tc>
        <w:tc>
          <w:tcPr>
            <w:tcW w:w="45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$1,650 </w:t>
            </w:r>
          </w:p>
        </w:tc>
        <w:tc>
          <w:tcPr>
            <w:tcW w:w="2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42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$1,650 </w:t>
            </w:r>
          </w:p>
        </w:tc>
      </w:tr>
      <w:tr>
        <w:tblPrEx>
          <w:tblCellMar>
            <w:top w:w="0" w:type="dxa"/>
            <w:left w:w="108" w:type="dxa"/>
            <w:bottom w:w="0" w:type="dxa"/>
            <w:right w:w="108" w:type="dxa"/>
          </w:tblCellMar>
        </w:tblPrEx>
        <w:trPr>
          <w:trHeight w:val="288" w:hRule="atLeast"/>
        </w:trPr>
        <w:tc>
          <w:tcPr>
            <w:tcW w:w="8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Software and development charges</w:t>
            </w:r>
          </w:p>
        </w:tc>
        <w:tc>
          <w:tcPr>
            <w:tcW w:w="45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$1,500 </w:t>
            </w:r>
          </w:p>
        </w:tc>
        <w:tc>
          <w:tcPr>
            <w:tcW w:w="2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42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$1,500 </w:t>
            </w:r>
          </w:p>
        </w:tc>
      </w:tr>
      <w:tr>
        <w:tblPrEx>
          <w:tblCellMar>
            <w:top w:w="0" w:type="dxa"/>
            <w:left w:w="108" w:type="dxa"/>
            <w:bottom w:w="0" w:type="dxa"/>
            <w:right w:w="108" w:type="dxa"/>
          </w:tblCellMar>
        </w:tblPrEx>
        <w:trPr>
          <w:trHeight w:val="288" w:hRule="atLeast"/>
        </w:trPr>
        <w:tc>
          <w:tcPr>
            <w:tcW w:w="8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Internet and other expenses</w:t>
            </w:r>
          </w:p>
        </w:tc>
        <w:tc>
          <w:tcPr>
            <w:tcW w:w="45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$850 </w:t>
            </w:r>
          </w:p>
        </w:tc>
        <w:tc>
          <w:tcPr>
            <w:tcW w:w="2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42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$850 </w:t>
            </w:r>
          </w:p>
        </w:tc>
      </w:tr>
      <w:tr>
        <w:tblPrEx>
          <w:tblCellMar>
            <w:top w:w="0" w:type="dxa"/>
            <w:left w:w="108" w:type="dxa"/>
            <w:bottom w:w="0" w:type="dxa"/>
            <w:right w:w="108" w:type="dxa"/>
          </w:tblCellMar>
        </w:tblPrEx>
        <w:trPr>
          <w:trHeight w:val="288" w:hRule="atLeast"/>
        </w:trPr>
        <w:tc>
          <w:tcPr>
            <w:tcW w:w="8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Trademark</w:t>
            </w:r>
          </w:p>
        </w:tc>
        <w:tc>
          <w:tcPr>
            <w:tcW w:w="45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$300 </w:t>
            </w:r>
          </w:p>
        </w:tc>
        <w:tc>
          <w:tcPr>
            <w:tcW w:w="2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42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$300 </w:t>
            </w:r>
          </w:p>
        </w:tc>
      </w:tr>
      <w:tr>
        <w:tblPrEx>
          <w:tblCellMar>
            <w:top w:w="0" w:type="dxa"/>
            <w:left w:w="108" w:type="dxa"/>
            <w:bottom w:w="0" w:type="dxa"/>
            <w:right w:w="108" w:type="dxa"/>
          </w:tblCellMar>
        </w:tblPrEx>
        <w:trPr>
          <w:trHeight w:val="288" w:hRule="atLeast"/>
        </w:trPr>
        <w:tc>
          <w:tcPr>
            <w:tcW w:w="8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Interest</w:t>
            </w:r>
          </w:p>
        </w:tc>
        <w:tc>
          <w:tcPr>
            <w:tcW w:w="45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$125 </w:t>
            </w:r>
          </w:p>
        </w:tc>
        <w:tc>
          <w:tcPr>
            <w:tcW w:w="2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$125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$125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$125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$125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$125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$125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$125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$125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$125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$125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$125 </w:t>
            </w:r>
          </w:p>
        </w:tc>
        <w:tc>
          <w:tcPr>
            <w:tcW w:w="42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$1,500 </w:t>
            </w:r>
          </w:p>
        </w:tc>
      </w:tr>
      <w:tr>
        <w:tblPrEx>
          <w:tblCellMar>
            <w:top w:w="0" w:type="dxa"/>
            <w:left w:w="108" w:type="dxa"/>
            <w:bottom w:w="0" w:type="dxa"/>
            <w:right w:w="108" w:type="dxa"/>
          </w:tblCellMar>
        </w:tblPrEx>
        <w:trPr>
          <w:trHeight w:val="288" w:hRule="atLeast"/>
        </w:trPr>
        <w:tc>
          <w:tcPr>
            <w:tcW w:w="8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Taxes</w:t>
            </w:r>
          </w:p>
        </w:tc>
        <w:tc>
          <w:tcPr>
            <w:tcW w:w="45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$15,814 </w:t>
            </w:r>
          </w:p>
        </w:tc>
        <w:tc>
          <w:tcPr>
            <w:tcW w:w="42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$15,814 </w:t>
            </w:r>
          </w:p>
        </w:tc>
      </w:tr>
      <w:tr>
        <w:tblPrEx>
          <w:tblCellMar>
            <w:top w:w="0" w:type="dxa"/>
            <w:left w:w="108" w:type="dxa"/>
            <w:bottom w:w="0" w:type="dxa"/>
            <w:right w:w="108" w:type="dxa"/>
          </w:tblCellMar>
        </w:tblPrEx>
        <w:trPr>
          <w:trHeight w:val="288" w:hRule="atLeast"/>
        </w:trPr>
        <w:tc>
          <w:tcPr>
            <w:tcW w:w="8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Miscellaneous</w:t>
            </w:r>
          </w:p>
        </w:tc>
        <w:tc>
          <w:tcPr>
            <w:tcW w:w="45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$333 </w:t>
            </w:r>
          </w:p>
        </w:tc>
        <w:tc>
          <w:tcPr>
            <w:tcW w:w="2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$333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$333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$333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$333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$333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$333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$333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$333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$333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$333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$333 </w:t>
            </w:r>
          </w:p>
        </w:tc>
        <w:tc>
          <w:tcPr>
            <w:tcW w:w="42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$4,000 </w:t>
            </w:r>
          </w:p>
        </w:tc>
      </w:tr>
      <w:tr>
        <w:tblPrEx>
          <w:tblCellMar>
            <w:top w:w="0" w:type="dxa"/>
            <w:left w:w="108" w:type="dxa"/>
            <w:bottom w:w="0" w:type="dxa"/>
            <w:right w:w="108" w:type="dxa"/>
          </w:tblCellMar>
        </w:tblPrEx>
        <w:trPr>
          <w:trHeight w:val="288" w:hRule="atLeast"/>
        </w:trPr>
        <w:tc>
          <w:tcPr>
            <w:tcW w:w="8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45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42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r>
      <w:tr>
        <w:tblPrEx>
          <w:tblCellMar>
            <w:top w:w="0" w:type="dxa"/>
            <w:left w:w="108" w:type="dxa"/>
            <w:bottom w:w="0" w:type="dxa"/>
            <w:right w:w="108" w:type="dxa"/>
          </w:tblCellMar>
        </w:tblPrEx>
        <w:trPr>
          <w:trHeight w:val="288" w:hRule="atLeast"/>
        </w:trPr>
        <w:tc>
          <w:tcPr>
            <w:tcW w:w="8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SUBTOTAL</w:t>
            </w:r>
          </w:p>
        </w:tc>
        <w:tc>
          <w:tcPr>
            <w:tcW w:w="45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$22,000.00 </w:t>
            </w:r>
          </w:p>
        </w:tc>
        <w:tc>
          <w:tcPr>
            <w:tcW w:w="2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$33,357.92 </w:t>
            </w:r>
          </w:p>
        </w:tc>
        <w:tc>
          <w:tcPr>
            <w:tcW w:w="2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$33,357.92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$33,357.92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$33,357.92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$33,357.92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$33,357.92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$33,357.92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$33,357.92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$33,357.92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$33,357.92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$33,357.92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$49,171.97 </w:t>
            </w:r>
          </w:p>
        </w:tc>
        <w:tc>
          <w:tcPr>
            <w:tcW w:w="42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$438,109.05 </w:t>
            </w:r>
          </w:p>
        </w:tc>
      </w:tr>
      <w:tr>
        <w:tblPrEx>
          <w:tblCellMar>
            <w:top w:w="0" w:type="dxa"/>
            <w:left w:w="108" w:type="dxa"/>
            <w:bottom w:w="0" w:type="dxa"/>
            <w:right w:w="108" w:type="dxa"/>
          </w:tblCellMar>
        </w:tblPrEx>
        <w:trPr>
          <w:trHeight w:val="288" w:hRule="atLeast"/>
        </w:trPr>
        <w:tc>
          <w:tcPr>
            <w:tcW w:w="8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45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42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r>
      <w:tr>
        <w:tblPrEx>
          <w:tblCellMar>
            <w:top w:w="0" w:type="dxa"/>
            <w:left w:w="108" w:type="dxa"/>
            <w:bottom w:w="0" w:type="dxa"/>
            <w:right w:w="108" w:type="dxa"/>
          </w:tblCellMar>
        </w:tblPrEx>
        <w:trPr>
          <w:trHeight w:val="288" w:hRule="atLeast"/>
        </w:trPr>
        <w:tc>
          <w:tcPr>
            <w:tcW w:w="8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Loan Principal Payment</w:t>
            </w:r>
          </w:p>
        </w:tc>
        <w:tc>
          <w:tcPr>
            <w:tcW w:w="45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42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r>
      <w:tr>
        <w:tblPrEx>
          <w:tblCellMar>
            <w:top w:w="0" w:type="dxa"/>
            <w:left w:w="108" w:type="dxa"/>
            <w:bottom w:w="0" w:type="dxa"/>
            <w:right w:w="108" w:type="dxa"/>
          </w:tblCellMar>
        </w:tblPrEx>
        <w:trPr>
          <w:trHeight w:val="288" w:hRule="atLeast"/>
        </w:trPr>
        <w:tc>
          <w:tcPr>
            <w:tcW w:w="8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Capital Purchase</w:t>
            </w:r>
          </w:p>
        </w:tc>
        <w:tc>
          <w:tcPr>
            <w:tcW w:w="45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$78,000.00 </w:t>
            </w:r>
          </w:p>
        </w:tc>
        <w:tc>
          <w:tcPr>
            <w:tcW w:w="2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42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$78,000.00 </w:t>
            </w:r>
          </w:p>
        </w:tc>
      </w:tr>
      <w:tr>
        <w:tblPrEx>
          <w:tblCellMar>
            <w:top w:w="0" w:type="dxa"/>
            <w:left w:w="108" w:type="dxa"/>
            <w:bottom w:w="0" w:type="dxa"/>
            <w:right w:w="108" w:type="dxa"/>
          </w:tblCellMar>
        </w:tblPrEx>
        <w:trPr>
          <w:trHeight w:val="288" w:hRule="atLeast"/>
        </w:trPr>
        <w:tc>
          <w:tcPr>
            <w:tcW w:w="8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Other Start Up Costs</w:t>
            </w:r>
          </w:p>
        </w:tc>
        <w:tc>
          <w:tcPr>
            <w:tcW w:w="45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42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r>
      <w:tr>
        <w:tblPrEx>
          <w:tblCellMar>
            <w:top w:w="0" w:type="dxa"/>
            <w:left w:w="108" w:type="dxa"/>
            <w:bottom w:w="0" w:type="dxa"/>
            <w:right w:w="108" w:type="dxa"/>
          </w:tblCellMar>
        </w:tblPrEx>
        <w:trPr>
          <w:trHeight w:val="288" w:hRule="atLeast"/>
        </w:trPr>
        <w:tc>
          <w:tcPr>
            <w:tcW w:w="8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Reserve and/or escrow</w:t>
            </w:r>
          </w:p>
        </w:tc>
        <w:tc>
          <w:tcPr>
            <w:tcW w:w="45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42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r>
      <w:tr>
        <w:tblPrEx>
          <w:tblCellMar>
            <w:top w:w="0" w:type="dxa"/>
            <w:left w:w="108" w:type="dxa"/>
            <w:bottom w:w="0" w:type="dxa"/>
            <w:right w:w="108" w:type="dxa"/>
          </w:tblCellMar>
        </w:tblPrEx>
        <w:trPr>
          <w:trHeight w:val="288" w:hRule="atLeast"/>
        </w:trPr>
        <w:tc>
          <w:tcPr>
            <w:tcW w:w="8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Other Withdrawals</w:t>
            </w:r>
          </w:p>
        </w:tc>
        <w:tc>
          <w:tcPr>
            <w:tcW w:w="45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2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$416.67 </w:t>
            </w:r>
          </w:p>
        </w:tc>
        <w:tc>
          <w:tcPr>
            <w:tcW w:w="2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$416.67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$416.67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$416.67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$416.67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$416.67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$416.67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$416.67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$416.67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$416.67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$416.67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$416.67 </w:t>
            </w:r>
          </w:p>
        </w:tc>
        <w:tc>
          <w:tcPr>
            <w:tcW w:w="42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$5,000.00 </w:t>
            </w:r>
          </w:p>
        </w:tc>
      </w:tr>
      <w:tr>
        <w:tblPrEx>
          <w:tblCellMar>
            <w:top w:w="0" w:type="dxa"/>
            <w:left w:w="108" w:type="dxa"/>
            <w:bottom w:w="0" w:type="dxa"/>
            <w:right w:w="108" w:type="dxa"/>
          </w:tblCellMar>
        </w:tblPrEx>
        <w:trPr>
          <w:trHeight w:val="288" w:hRule="atLeast"/>
        </w:trPr>
        <w:tc>
          <w:tcPr>
            <w:tcW w:w="8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Total Cash Paid Out</w:t>
            </w:r>
          </w:p>
        </w:tc>
        <w:tc>
          <w:tcPr>
            <w:tcW w:w="45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$100,000.00 </w:t>
            </w:r>
          </w:p>
        </w:tc>
        <w:tc>
          <w:tcPr>
            <w:tcW w:w="2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$33,774.58 </w:t>
            </w:r>
          </w:p>
        </w:tc>
        <w:tc>
          <w:tcPr>
            <w:tcW w:w="2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$33,774.58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$33,774.58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$33,774.58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$33,774.58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$33,774.58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$33,774.58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$33,774.58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$33,774.58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$33,774.58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$33,774.58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$49,588.63 </w:t>
            </w:r>
          </w:p>
        </w:tc>
        <w:tc>
          <w:tcPr>
            <w:tcW w:w="42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$521,109.05 </w:t>
            </w:r>
          </w:p>
        </w:tc>
      </w:tr>
      <w:tr>
        <w:tblPrEx>
          <w:tblCellMar>
            <w:top w:w="0" w:type="dxa"/>
            <w:left w:w="108" w:type="dxa"/>
            <w:bottom w:w="0" w:type="dxa"/>
            <w:right w:w="108" w:type="dxa"/>
          </w:tblCellMar>
        </w:tblPrEx>
        <w:trPr>
          <w:trHeight w:val="288" w:hRule="atLeast"/>
        </w:trPr>
        <w:tc>
          <w:tcPr>
            <w:tcW w:w="8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45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7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42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r>
      <w:tr>
        <w:tblPrEx>
          <w:tblCellMar>
            <w:top w:w="0" w:type="dxa"/>
            <w:left w:w="108" w:type="dxa"/>
            <w:bottom w:w="0" w:type="dxa"/>
            <w:right w:w="108" w:type="dxa"/>
          </w:tblCellMar>
        </w:tblPrEx>
        <w:trPr>
          <w:trHeight w:val="288" w:hRule="atLeast"/>
        </w:trPr>
        <w:tc>
          <w:tcPr>
            <w:tcW w:w="8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Cash Position</w:t>
            </w:r>
          </w:p>
        </w:tc>
        <w:tc>
          <w:tcPr>
            <w:tcW w:w="458"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 xml:space="preserve"> $-   </w:t>
            </w:r>
          </w:p>
        </w:tc>
        <w:tc>
          <w:tcPr>
            <w:tcW w:w="273" w:type="pct"/>
            <w:tcBorders>
              <w:top w:val="single" w:color="000000" w:sz="4" w:space="0"/>
              <w:left w:val="single" w:color="000000" w:sz="4" w:space="0"/>
              <w:bottom w:val="single" w:color="000000" w:sz="4" w:space="0"/>
              <w:right w:val="single" w:color="000000" w:sz="4" w:space="0"/>
            </w:tcBorders>
            <w:shd w:val="clear" w:color="auto" w:fill="FFC7CE"/>
            <w:noWrap/>
            <w:vAlign w:val="bottom"/>
          </w:tcPr>
          <w:p>
            <w:pPr>
              <w:spacing w:after="0" w:line="240" w:lineRule="auto"/>
              <w:jc w:val="right"/>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 xml:space="preserve"> $(4,292.92)</w:t>
            </w:r>
          </w:p>
        </w:tc>
        <w:tc>
          <w:tcPr>
            <w:tcW w:w="271"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 xml:space="preserve"> $4,049.17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 xml:space="preserve"> $12,391.25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 xml:space="preserve"> $20,733.33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 xml:space="preserve"> $29,075.42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 xml:space="preserve"> $37,417.50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 xml:space="preserve"> $45,759.58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 xml:space="preserve"> $54,101.67 </w:t>
            </w:r>
          </w:p>
        </w:tc>
        <w:tc>
          <w:tcPr>
            <w:tcW w:w="26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 xml:space="preserve"> $62,443.75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 xml:space="preserve"> $70,785.83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 xml:space="preserve"> $79,127.92 </w:t>
            </w:r>
          </w:p>
        </w:tc>
        <w:tc>
          <w:tcPr>
            <w:tcW w:w="290"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 xml:space="preserve"> $71,655.95 </w:t>
            </w:r>
          </w:p>
        </w:tc>
        <w:tc>
          <w:tcPr>
            <w:tcW w:w="427"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 xml:space="preserve"> $483,248.45 </w:t>
            </w:r>
          </w:p>
        </w:tc>
      </w:tr>
    </w:tbl>
    <w:p>
      <w:pPr>
        <w:spacing w:after="0" w:line="480" w:lineRule="auto"/>
        <w:rPr>
          <w:rFonts w:ascii="Times New Roman" w:hAnsi="Times New Roman" w:cs="Times New Roman"/>
          <w:color w:val="000000" w:themeColor="text1"/>
          <w:sz w:val="24"/>
          <w:szCs w:val="24"/>
        </w:rPr>
      </w:pPr>
    </w:p>
    <w:p>
      <w:pPr>
        <w:spacing w:after="0"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drawing>
          <wp:inline distT="0" distB="0" distL="114300" distR="114300">
            <wp:extent cx="5670550" cy="2247900"/>
            <wp:effectExtent l="19050" t="0" r="24952" b="0"/>
            <wp:docPr id="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pPr>
        <w:spacing w:after="0" w:line="48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7.4 Projected Balance Sheet</w:t>
      </w:r>
    </w:p>
    <w:tbl>
      <w:tblPr>
        <w:tblStyle w:val="6"/>
        <w:tblW w:w="5000" w:type="pct"/>
        <w:tblInd w:w="0" w:type="dxa"/>
        <w:tblLayout w:type="autofit"/>
        <w:tblCellMar>
          <w:top w:w="0" w:type="dxa"/>
          <w:left w:w="108" w:type="dxa"/>
          <w:bottom w:w="0" w:type="dxa"/>
          <w:right w:w="108" w:type="dxa"/>
        </w:tblCellMar>
      </w:tblPr>
      <w:tblGrid>
        <w:gridCol w:w="4999"/>
        <w:gridCol w:w="1197"/>
        <w:gridCol w:w="1690"/>
        <w:gridCol w:w="1690"/>
      </w:tblGrid>
      <w:tr>
        <w:tblPrEx>
          <w:tblCellMar>
            <w:top w:w="0" w:type="dxa"/>
            <w:left w:w="108" w:type="dxa"/>
            <w:bottom w:w="0" w:type="dxa"/>
            <w:right w:w="108" w:type="dxa"/>
          </w:tblCellMar>
        </w:tblPrEx>
        <w:trPr>
          <w:trHeight w:val="288" w:hRule="atLeast"/>
        </w:trPr>
        <w:tc>
          <w:tcPr>
            <w:tcW w:w="5000" w:type="pct"/>
            <w:gridSpan w:val="4"/>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center"/>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Balance Sheet</w:t>
            </w:r>
          </w:p>
        </w:tc>
      </w:tr>
      <w:tr>
        <w:tblPrEx>
          <w:tblCellMar>
            <w:top w:w="0" w:type="dxa"/>
            <w:left w:w="108" w:type="dxa"/>
            <w:bottom w:w="0" w:type="dxa"/>
            <w:right w:w="108" w:type="dxa"/>
          </w:tblCellMar>
        </w:tblPrEx>
        <w:trPr>
          <w:trHeight w:val="288" w:hRule="atLeast"/>
        </w:trPr>
        <w:tc>
          <w:tcPr>
            <w:tcW w:w="5000" w:type="pct"/>
            <w:gridSpan w:val="4"/>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center"/>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Carnival Row Tech Consulting Limited</w:t>
            </w:r>
          </w:p>
        </w:tc>
      </w:tr>
      <w:tr>
        <w:tblPrEx>
          <w:tblCellMar>
            <w:top w:w="0" w:type="dxa"/>
            <w:left w:w="108" w:type="dxa"/>
            <w:bottom w:w="0" w:type="dxa"/>
            <w:right w:w="108" w:type="dxa"/>
          </w:tblCellMar>
        </w:tblPrEx>
        <w:trPr>
          <w:trHeight w:val="420" w:hRule="atLeast"/>
        </w:trPr>
        <w:tc>
          <w:tcPr>
            <w:tcW w:w="26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ASSETS</w:t>
            </w:r>
          </w:p>
        </w:tc>
        <w:tc>
          <w:tcPr>
            <w:tcW w:w="63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Year 1</w:t>
            </w:r>
          </w:p>
        </w:tc>
        <w:tc>
          <w:tcPr>
            <w:tcW w:w="85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Year 2 (Projected)</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Year 3 (Projected)</w:t>
            </w:r>
          </w:p>
        </w:tc>
      </w:tr>
      <w:tr>
        <w:trPr>
          <w:trHeight w:val="288" w:hRule="atLeast"/>
        </w:trPr>
        <w:tc>
          <w:tcPr>
            <w:tcW w:w="26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Current Assets</w:t>
            </w:r>
          </w:p>
        </w:tc>
        <w:tc>
          <w:tcPr>
            <w:tcW w:w="63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rPr>
                <w:rFonts w:ascii="Times New Roman" w:hAnsi="Times New Roman" w:cs="Times New Roman"/>
                <w:color w:val="000000" w:themeColor="text1"/>
                <w:sz w:val="24"/>
                <w:szCs w:val="24"/>
              </w:rPr>
            </w:pPr>
          </w:p>
        </w:tc>
        <w:tc>
          <w:tcPr>
            <w:tcW w:w="85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rPr>
                <w:rFonts w:ascii="Times New Roman" w:hAnsi="Times New Roman" w:cs="Times New Roman"/>
                <w:color w:val="000000" w:themeColor="text1"/>
                <w:sz w:val="24"/>
                <w:szCs w:val="24"/>
              </w:rPr>
            </w:pP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rPr>
                <w:rFonts w:ascii="Times New Roman" w:hAnsi="Times New Roman" w:cs="Times New Roman"/>
                <w:color w:val="000000" w:themeColor="text1"/>
                <w:sz w:val="24"/>
                <w:szCs w:val="24"/>
              </w:rPr>
            </w:pPr>
          </w:p>
        </w:tc>
      </w:tr>
      <w:tr>
        <w:tblPrEx>
          <w:tblCellMar>
            <w:top w:w="0" w:type="dxa"/>
            <w:left w:w="108" w:type="dxa"/>
            <w:bottom w:w="0" w:type="dxa"/>
            <w:right w:w="108" w:type="dxa"/>
          </w:tblCellMar>
        </w:tblPrEx>
        <w:trPr>
          <w:trHeight w:val="288" w:hRule="atLeast"/>
        </w:trPr>
        <w:tc>
          <w:tcPr>
            <w:tcW w:w="26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Cash in Bank</w:t>
            </w:r>
          </w:p>
        </w:tc>
        <w:tc>
          <w:tcPr>
            <w:tcW w:w="63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$71,655.95 </w:t>
            </w:r>
          </w:p>
        </w:tc>
        <w:tc>
          <w:tcPr>
            <w:tcW w:w="85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$156,443.74 </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$265,811.70 </w:t>
            </w:r>
          </w:p>
        </w:tc>
      </w:tr>
      <w:tr>
        <w:tblPrEx>
          <w:tblCellMar>
            <w:top w:w="0" w:type="dxa"/>
            <w:left w:w="108" w:type="dxa"/>
            <w:bottom w:w="0" w:type="dxa"/>
            <w:right w:w="108" w:type="dxa"/>
          </w:tblCellMar>
        </w:tblPrEx>
        <w:trPr>
          <w:trHeight w:val="288" w:hRule="atLeast"/>
        </w:trPr>
        <w:tc>
          <w:tcPr>
            <w:tcW w:w="26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Accounts Receivable</w:t>
            </w:r>
          </w:p>
        </w:tc>
        <w:tc>
          <w:tcPr>
            <w:tcW w:w="63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$12,635.00 </w:t>
            </w:r>
          </w:p>
        </w:tc>
        <w:tc>
          <w:tcPr>
            <w:tcW w:w="85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$13,898.50 </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$15,276.75 </w:t>
            </w:r>
          </w:p>
        </w:tc>
      </w:tr>
      <w:tr>
        <w:tblPrEx>
          <w:tblCellMar>
            <w:top w:w="0" w:type="dxa"/>
            <w:left w:w="108" w:type="dxa"/>
            <w:bottom w:w="0" w:type="dxa"/>
            <w:right w:w="108" w:type="dxa"/>
          </w:tblCellMar>
        </w:tblPrEx>
        <w:trPr>
          <w:trHeight w:val="288" w:hRule="atLeast"/>
        </w:trPr>
        <w:tc>
          <w:tcPr>
            <w:tcW w:w="26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Inventory</w:t>
            </w:r>
          </w:p>
        </w:tc>
        <w:tc>
          <w:tcPr>
            <w:tcW w:w="63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85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r>
      <w:tr>
        <w:tblPrEx>
          <w:tblCellMar>
            <w:top w:w="0" w:type="dxa"/>
            <w:left w:w="108" w:type="dxa"/>
            <w:bottom w:w="0" w:type="dxa"/>
            <w:right w:w="108" w:type="dxa"/>
          </w:tblCellMar>
        </w:tblPrEx>
        <w:trPr>
          <w:trHeight w:val="288" w:hRule="atLeast"/>
        </w:trPr>
        <w:tc>
          <w:tcPr>
            <w:tcW w:w="26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Prepaid Expenses</w:t>
            </w:r>
          </w:p>
        </w:tc>
        <w:tc>
          <w:tcPr>
            <w:tcW w:w="63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85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r>
      <w:tr>
        <w:tblPrEx>
          <w:tblCellMar>
            <w:top w:w="0" w:type="dxa"/>
            <w:left w:w="108" w:type="dxa"/>
            <w:bottom w:w="0" w:type="dxa"/>
            <w:right w:w="108" w:type="dxa"/>
          </w:tblCellMar>
        </w:tblPrEx>
        <w:trPr>
          <w:trHeight w:val="288" w:hRule="atLeast"/>
        </w:trPr>
        <w:tc>
          <w:tcPr>
            <w:tcW w:w="26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Deposits</w:t>
            </w:r>
          </w:p>
        </w:tc>
        <w:tc>
          <w:tcPr>
            <w:tcW w:w="63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85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r>
      <w:tr>
        <w:tblPrEx>
          <w:tblCellMar>
            <w:top w:w="0" w:type="dxa"/>
            <w:left w:w="108" w:type="dxa"/>
            <w:bottom w:w="0" w:type="dxa"/>
            <w:right w:w="108" w:type="dxa"/>
          </w:tblCellMar>
        </w:tblPrEx>
        <w:trPr>
          <w:trHeight w:val="288" w:hRule="atLeast"/>
        </w:trPr>
        <w:tc>
          <w:tcPr>
            <w:tcW w:w="26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Other current assets</w:t>
            </w:r>
          </w:p>
        </w:tc>
        <w:tc>
          <w:tcPr>
            <w:tcW w:w="63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85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r>
      <w:tr>
        <w:tblPrEx>
          <w:tblCellMar>
            <w:top w:w="0" w:type="dxa"/>
            <w:left w:w="108" w:type="dxa"/>
            <w:bottom w:w="0" w:type="dxa"/>
            <w:right w:w="108" w:type="dxa"/>
          </w:tblCellMar>
        </w:tblPrEx>
        <w:trPr>
          <w:trHeight w:val="288" w:hRule="atLeast"/>
        </w:trPr>
        <w:tc>
          <w:tcPr>
            <w:tcW w:w="26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TOTAL CURRENT ASSETS</w:t>
            </w:r>
          </w:p>
        </w:tc>
        <w:tc>
          <w:tcPr>
            <w:tcW w:w="63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$84,290.95 </w:t>
            </w:r>
          </w:p>
        </w:tc>
        <w:tc>
          <w:tcPr>
            <w:tcW w:w="85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$170,342.24 </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$281,088.45 </w:t>
            </w:r>
          </w:p>
        </w:tc>
      </w:tr>
      <w:tr>
        <w:tblPrEx>
          <w:tblCellMar>
            <w:top w:w="0" w:type="dxa"/>
            <w:left w:w="108" w:type="dxa"/>
            <w:bottom w:w="0" w:type="dxa"/>
            <w:right w:w="108" w:type="dxa"/>
          </w:tblCellMar>
        </w:tblPrEx>
        <w:trPr>
          <w:trHeight w:val="288" w:hRule="atLeast"/>
        </w:trPr>
        <w:tc>
          <w:tcPr>
            <w:tcW w:w="26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rPr>
                <w:rFonts w:ascii="Times New Roman" w:hAnsi="Times New Roman" w:cs="Times New Roman"/>
                <w:color w:val="000000" w:themeColor="text1"/>
                <w:sz w:val="24"/>
                <w:szCs w:val="24"/>
              </w:rPr>
            </w:pPr>
          </w:p>
        </w:tc>
        <w:tc>
          <w:tcPr>
            <w:tcW w:w="63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rPr>
                <w:rFonts w:ascii="Times New Roman" w:hAnsi="Times New Roman" w:cs="Times New Roman"/>
                <w:color w:val="000000" w:themeColor="text1"/>
                <w:sz w:val="24"/>
                <w:szCs w:val="24"/>
              </w:rPr>
            </w:pPr>
          </w:p>
        </w:tc>
        <w:tc>
          <w:tcPr>
            <w:tcW w:w="85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rPr>
                <w:rFonts w:ascii="Times New Roman" w:hAnsi="Times New Roman" w:cs="Times New Roman"/>
                <w:color w:val="000000" w:themeColor="text1"/>
                <w:sz w:val="24"/>
                <w:szCs w:val="24"/>
              </w:rPr>
            </w:pP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rPr>
                <w:rFonts w:ascii="Times New Roman" w:hAnsi="Times New Roman" w:cs="Times New Roman"/>
                <w:color w:val="000000" w:themeColor="text1"/>
                <w:sz w:val="24"/>
                <w:szCs w:val="24"/>
              </w:rPr>
            </w:pPr>
          </w:p>
        </w:tc>
      </w:tr>
      <w:tr>
        <w:tblPrEx>
          <w:tblCellMar>
            <w:top w:w="0" w:type="dxa"/>
            <w:left w:w="108" w:type="dxa"/>
            <w:bottom w:w="0" w:type="dxa"/>
            <w:right w:w="108" w:type="dxa"/>
          </w:tblCellMar>
        </w:tblPrEx>
        <w:trPr>
          <w:trHeight w:val="288" w:hRule="atLeast"/>
        </w:trPr>
        <w:tc>
          <w:tcPr>
            <w:tcW w:w="26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FIXED ASSETS</w:t>
            </w:r>
          </w:p>
        </w:tc>
        <w:tc>
          <w:tcPr>
            <w:tcW w:w="63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rPr>
                <w:rFonts w:ascii="Times New Roman" w:hAnsi="Times New Roman" w:cs="Times New Roman"/>
                <w:color w:val="000000" w:themeColor="text1"/>
                <w:sz w:val="24"/>
                <w:szCs w:val="24"/>
              </w:rPr>
            </w:pPr>
          </w:p>
        </w:tc>
        <w:tc>
          <w:tcPr>
            <w:tcW w:w="85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rPr>
                <w:rFonts w:ascii="Times New Roman" w:hAnsi="Times New Roman" w:cs="Times New Roman"/>
                <w:color w:val="000000" w:themeColor="text1"/>
                <w:sz w:val="24"/>
                <w:szCs w:val="24"/>
              </w:rPr>
            </w:pP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rPr>
                <w:rFonts w:ascii="Times New Roman" w:hAnsi="Times New Roman" w:cs="Times New Roman"/>
                <w:color w:val="000000" w:themeColor="text1"/>
                <w:sz w:val="24"/>
                <w:szCs w:val="24"/>
              </w:rPr>
            </w:pPr>
          </w:p>
        </w:tc>
      </w:tr>
      <w:tr>
        <w:tblPrEx>
          <w:tblCellMar>
            <w:top w:w="0" w:type="dxa"/>
            <w:left w:w="108" w:type="dxa"/>
            <w:bottom w:w="0" w:type="dxa"/>
            <w:right w:w="108" w:type="dxa"/>
          </w:tblCellMar>
        </w:tblPrEx>
        <w:trPr>
          <w:trHeight w:val="288" w:hRule="atLeast"/>
        </w:trPr>
        <w:tc>
          <w:tcPr>
            <w:tcW w:w="26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Equipment</w:t>
            </w:r>
          </w:p>
        </w:tc>
        <w:tc>
          <w:tcPr>
            <w:tcW w:w="63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$5,000.00 </w:t>
            </w:r>
          </w:p>
        </w:tc>
        <w:tc>
          <w:tcPr>
            <w:tcW w:w="85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$4,500.00 </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$4,000.00 </w:t>
            </w:r>
          </w:p>
        </w:tc>
      </w:tr>
      <w:tr>
        <w:tblPrEx>
          <w:tblCellMar>
            <w:top w:w="0" w:type="dxa"/>
            <w:left w:w="108" w:type="dxa"/>
            <w:bottom w:w="0" w:type="dxa"/>
            <w:right w:w="108" w:type="dxa"/>
          </w:tblCellMar>
        </w:tblPrEx>
        <w:trPr>
          <w:trHeight w:val="288" w:hRule="atLeast"/>
        </w:trPr>
        <w:tc>
          <w:tcPr>
            <w:tcW w:w="26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LESS:  Accumulated Depreciation - Machinery &amp; Equipment</w:t>
            </w:r>
          </w:p>
        </w:tc>
        <w:tc>
          <w:tcPr>
            <w:tcW w:w="63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$500.00 </w:t>
            </w:r>
          </w:p>
        </w:tc>
        <w:tc>
          <w:tcPr>
            <w:tcW w:w="85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$500.00 </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$500.00 </w:t>
            </w:r>
          </w:p>
        </w:tc>
      </w:tr>
      <w:tr>
        <w:tblPrEx>
          <w:tblCellMar>
            <w:top w:w="0" w:type="dxa"/>
            <w:left w:w="108" w:type="dxa"/>
            <w:bottom w:w="0" w:type="dxa"/>
            <w:right w:w="108" w:type="dxa"/>
          </w:tblCellMar>
        </w:tblPrEx>
        <w:trPr>
          <w:trHeight w:val="288" w:hRule="atLeast"/>
        </w:trPr>
        <w:tc>
          <w:tcPr>
            <w:tcW w:w="26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Furniture &amp; Fixtures</w:t>
            </w:r>
          </w:p>
        </w:tc>
        <w:tc>
          <w:tcPr>
            <w:tcW w:w="63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$28,000.00 </w:t>
            </w:r>
          </w:p>
        </w:tc>
        <w:tc>
          <w:tcPr>
            <w:tcW w:w="85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$25,200.00 </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$22,400.00 </w:t>
            </w:r>
          </w:p>
        </w:tc>
      </w:tr>
      <w:tr>
        <w:trPr>
          <w:trHeight w:val="288" w:hRule="atLeast"/>
        </w:trPr>
        <w:tc>
          <w:tcPr>
            <w:tcW w:w="26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LESS:  Accumulated Depreciation - Furniture &amp; Fixtures</w:t>
            </w:r>
          </w:p>
        </w:tc>
        <w:tc>
          <w:tcPr>
            <w:tcW w:w="63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$2,800.00 </w:t>
            </w:r>
          </w:p>
        </w:tc>
        <w:tc>
          <w:tcPr>
            <w:tcW w:w="85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$2,800.00 </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$2,800.00 </w:t>
            </w:r>
          </w:p>
        </w:tc>
      </w:tr>
      <w:tr>
        <w:tblPrEx>
          <w:tblCellMar>
            <w:top w:w="0" w:type="dxa"/>
            <w:left w:w="108" w:type="dxa"/>
            <w:bottom w:w="0" w:type="dxa"/>
            <w:right w:w="108" w:type="dxa"/>
          </w:tblCellMar>
        </w:tblPrEx>
        <w:trPr>
          <w:trHeight w:val="288" w:hRule="atLeast"/>
        </w:trPr>
        <w:tc>
          <w:tcPr>
            <w:tcW w:w="26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Computer and appliances</w:t>
            </w:r>
          </w:p>
        </w:tc>
        <w:tc>
          <w:tcPr>
            <w:tcW w:w="63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$24,000.00 </w:t>
            </w:r>
          </w:p>
        </w:tc>
        <w:tc>
          <w:tcPr>
            <w:tcW w:w="85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$21,600.00 </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$19,200.00 </w:t>
            </w:r>
          </w:p>
        </w:tc>
      </w:tr>
      <w:tr>
        <w:tblPrEx>
          <w:tblCellMar>
            <w:top w:w="0" w:type="dxa"/>
            <w:left w:w="108" w:type="dxa"/>
            <w:bottom w:w="0" w:type="dxa"/>
            <w:right w:w="108" w:type="dxa"/>
          </w:tblCellMar>
        </w:tblPrEx>
        <w:trPr>
          <w:trHeight w:val="288" w:hRule="atLeast"/>
        </w:trPr>
        <w:tc>
          <w:tcPr>
            <w:tcW w:w="26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LESS:  Accumulated Depreciation - Leaseholder Improvements</w:t>
            </w:r>
          </w:p>
        </w:tc>
        <w:tc>
          <w:tcPr>
            <w:tcW w:w="63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$2,400.00 </w:t>
            </w:r>
          </w:p>
        </w:tc>
        <w:tc>
          <w:tcPr>
            <w:tcW w:w="85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$2,400.00 </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$2,400.00 </w:t>
            </w:r>
          </w:p>
        </w:tc>
      </w:tr>
      <w:tr>
        <w:tblPrEx>
          <w:tblCellMar>
            <w:top w:w="0" w:type="dxa"/>
            <w:left w:w="108" w:type="dxa"/>
            <w:bottom w:w="0" w:type="dxa"/>
            <w:right w:w="108" w:type="dxa"/>
          </w:tblCellMar>
        </w:tblPrEx>
        <w:trPr>
          <w:trHeight w:val="288" w:hRule="atLeast"/>
        </w:trPr>
        <w:tc>
          <w:tcPr>
            <w:tcW w:w="26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Light fitting</w:t>
            </w:r>
          </w:p>
        </w:tc>
        <w:tc>
          <w:tcPr>
            <w:tcW w:w="63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$3,000.00 </w:t>
            </w:r>
          </w:p>
        </w:tc>
        <w:tc>
          <w:tcPr>
            <w:tcW w:w="85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$2,700.00 </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$2,400.00 </w:t>
            </w:r>
          </w:p>
        </w:tc>
      </w:tr>
      <w:tr>
        <w:tblPrEx>
          <w:tblCellMar>
            <w:top w:w="0" w:type="dxa"/>
            <w:left w:w="108" w:type="dxa"/>
            <w:bottom w:w="0" w:type="dxa"/>
            <w:right w:w="108" w:type="dxa"/>
          </w:tblCellMar>
        </w:tblPrEx>
        <w:trPr>
          <w:trHeight w:val="288" w:hRule="atLeast"/>
        </w:trPr>
        <w:tc>
          <w:tcPr>
            <w:tcW w:w="26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LESS:  Accumulated Depreciation - Land &amp; Buildings</w:t>
            </w:r>
          </w:p>
        </w:tc>
        <w:tc>
          <w:tcPr>
            <w:tcW w:w="63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$300.00 </w:t>
            </w:r>
          </w:p>
        </w:tc>
        <w:tc>
          <w:tcPr>
            <w:tcW w:w="85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$300.00 </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$300.00 </w:t>
            </w:r>
          </w:p>
        </w:tc>
      </w:tr>
      <w:tr>
        <w:trPr>
          <w:trHeight w:val="288" w:hRule="atLeast"/>
        </w:trPr>
        <w:tc>
          <w:tcPr>
            <w:tcW w:w="26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Air conditioning</w:t>
            </w:r>
          </w:p>
        </w:tc>
        <w:tc>
          <w:tcPr>
            <w:tcW w:w="63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$18,000.00 </w:t>
            </w:r>
          </w:p>
        </w:tc>
        <w:tc>
          <w:tcPr>
            <w:tcW w:w="85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$16,200.00 </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$14,400.00 </w:t>
            </w:r>
          </w:p>
        </w:tc>
      </w:tr>
      <w:tr>
        <w:trPr>
          <w:trHeight w:val="288" w:hRule="atLeast"/>
        </w:trPr>
        <w:tc>
          <w:tcPr>
            <w:tcW w:w="26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LESS:  Accumulated Depreciation - Other Fixed Assets</w:t>
            </w:r>
          </w:p>
        </w:tc>
        <w:tc>
          <w:tcPr>
            <w:tcW w:w="63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$1,800.00 </w:t>
            </w:r>
          </w:p>
        </w:tc>
        <w:tc>
          <w:tcPr>
            <w:tcW w:w="85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$1,800.00 </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$1,800.00 </w:t>
            </w:r>
          </w:p>
        </w:tc>
      </w:tr>
      <w:tr>
        <w:tblPrEx>
          <w:tblCellMar>
            <w:top w:w="0" w:type="dxa"/>
            <w:left w:w="108" w:type="dxa"/>
            <w:bottom w:w="0" w:type="dxa"/>
            <w:right w:w="108" w:type="dxa"/>
          </w:tblCellMar>
        </w:tblPrEx>
        <w:trPr>
          <w:trHeight w:val="288" w:hRule="atLeast"/>
        </w:trPr>
        <w:tc>
          <w:tcPr>
            <w:tcW w:w="26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TOTAL FIXED ASSETS (net of depreciation)</w:t>
            </w:r>
          </w:p>
        </w:tc>
        <w:tc>
          <w:tcPr>
            <w:tcW w:w="63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 xml:space="preserve"> $70,200.00 </w:t>
            </w:r>
          </w:p>
        </w:tc>
        <w:tc>
          <w:tcPr>
            <w:tcW w:w="85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 xml:space="preserve"> $62,400.00 </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 xml:space="preserve"> $54,600.00 </w:t>
            </w:r>
          </w:p>
        </w:tc>
      </w:tr>
      <w:tr>
        <w:tblPrEx>
          <w:tblCellMar>
            <w:top w:w="0" w:type="dxa"/>
            <w:left w:w="108" w:type="dxa"/>
            <w:bottom w:w="0" w:type="dxa"/>
            <w:right w:w="108" w:type="dxa"/>
          </w:tblCellMar>
        </w:tblPrEx>
        <w:trPr>
          <w:trHeight w:val="288" w:hRule="atLeast"/>
        </w:trPr>
        <w:tc>
          <w:tcPr>
            <w:tcW w:w="26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rPr>
                <w:rFonts w:ascii="Times New Roman" w:hAnsi="Times New Roman" w:cs="Times New Roman"/>
                <w:color w:val="000000" w:themeColor="text1"/>
                <w:sz w:val="24"/>
                <w:szCs w:val="24"/>
              </w:rPr>
            </w:pPr>
          </w:p>
        </w:tc>
        <w:tc>
          <w:tcPr>
            <w:tcW w:w="63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rPr>
                <w:rFonts w:ascii="Times New Roman" w:hAnsi="Times New Roman" w:cs="Times New Roman"/>
                <w:color w:val="000000" w:themeColor="text1"/>
                <w:sz w:val="24"/>
                <w:szCs w:val="24"/>
              </w:rPr>
            </w:pPr>
          </w:p>
        </w:tc>
        <w:tc>
          <w:tcPr>
            <w:tcW w:w="85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rPr>
                <w:rFonts w:ascii="Times New Roman" w:hAnsi="Times New Roman" w:cs="Times New Roman"/>
                <w:color w:val="000000" w:themeColor="text1"/>
                <w:sz w:val="24"/>
                <w:szCs w:val="24"/>
              </w:rPr>
            </w:pP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rPr>
                <w:rFonts w:ascii="Times New Roman" w:hAnsi="Times New Roman" w:cs="Times New Roman"/>
                <w:color w:val="000000" w:themeColor="text1"/>
                <w:sz w:val="24"/>
                <w:szCs w:val="24"/>
              </w:rPr>
            </w:pPr>
          </w:p>
        </w:tc>
      </w:tr>
      <w:tr>
        <w:tblPrEx>
          <w:tblCellMar>
            <w:top w:w="0" w:type="dxa"/>
            <w:left w:w="108" w:type="dxa"/>
            <w:bottom w:w="0" w:type="dxa"/>
            <w:right w:w="108" w:type="dxa"/>
          </w:tblCellMar>
        </w:tblPrEx>
        <w:trPr>
          <w:trHeight w:val="288" w:hRule="atLeast"/>
        </w:trPr>
        <w:tc>
          <w:tcPr>
            <w:tcW w:w="26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OTHER ASSETS</w:t>
            </w:r>
          </w:p>
        </w:tc>
        <w:tc>
          <w:tcPr>
            <w:tcW w:w="63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rPr>
                <w:rFonts w:ascii="Times New Roman" w:hAnsi="Times New Roman" w:cs="Times New Roman"/>
                <w:color w:val="000000" w:themeColor="text1"/>
                <w:sz w:val="24"/>
                <w:szCs w:val="24"/>
              </w:rPr>
            </w:pPr>
          </w:p>
        </w:tc>
        <w:tc>
          <w:tcPr>
            <w:tcW w:w="85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rPr>
                <w:rFonts w:ascii="Times New Roman" w:hAnsi="Times New Roman" w:cs="Times New Roman"/>
                <w:color w:val="000000" w:themeColor="text1"/>
                <w:sz w:val="24"/>
                <w:szCs w:val="24"/>
              </w:rPr>
            </w:pP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rPr>
                <w:rFonts w:ascii="Times New Roman" w:hAnsi="Times New Roman" w:cs="Times New Roman"/>
                <w:color w:val="000000" w:themeColor="text1"/>
                <w:sz w:val="24"/>
                <w:szCs w:val="24"/>
              </w:rPr>
            </w:pPr>
          </w:p>
        </w:tc>
      </w:tr>
      <w:tr>
        <w:tblPrEx>
          <w:tblCellMar>
            <w:top w:w="0" w:type="dxa"/>
            <w:left w:w="108" w:type="dxa"/>
            <w:bottom w:w="0" w:type="dxa"/>
            <w:right w:w="108" w:type="dxa"/>
          </w:tblCellMar>
        </w:tblPrEx>
        <w:trPr>
          <w:trHeight w:val="288" w:hRule="atLeast"/>
        </w:trPr>
        <w:tc>
          <w:tcPr>
            <w:tcW w:w="26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Intangibles</w:t>
            </w:r>
          </w:p>
        </w:tc>
        <w:tc>
          <w:tcPr>
            <w:tcW w:w="63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85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r>
      <w:tr>
        <w:tblPrEx>
          <w:tblCellMar>
            <w:top w:w="0" w:type="dxa"/>
            <w:left w:w="108" w:type="dxa"/>
            <w:bottom w:w="0" w:type="dxa"/>
            <w:right w:w="108" w:type="dxa"/>
          </w:tblCellMar>
        </w:tblPrEx>
        <w:trPr>
          <w:trHeight w:val="288" w:hRule="atLeast"/>
        </w:trPr>
        <w:tc>
          <w:tcPr>
            <w:tcW w:w="26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Other</w:t>
            </w:r>
          </w:p>
        </w:tc>
        <w:tc>
          <w:tcPr>
            <w:tcW w:w="63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85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r>
      <w:tr>
        <w:tblPrEx>
          <w:tblCellMar>
            <w:top w:w="0" w:type="dxa"/>
            <w:left w:w="108" w:type="dxa"/>
            <w:bottom w:w="0" w:type="dxa"/>
            <w:right w:w="108" w:type="dxa"/>
          </w:tblCellMar>
        </w:tblPrEx>
        <w:trPr>
          <w:trHeight w:val="288" w:hRule="atLeast"/>
        </w:trPr>
        <w:tc>
          <w:tcPr>
            <w:tcW w:w="26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TOTAL OTHER ASSETS</w:t>
            </w:r>
          </w:p>
        </w:tc>
        <w:tc>
          <w:tcPr>
            <w:tcW w:w="63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85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r>
      <w:tr>
        <w:tblPrEx>
          <w:tblCellMar>
            <w:top w:w="0" w:type="dxa"/>
            <w:left w:w="108" w:type="dxa"/>
            <w:bottom w:w="0" w:type="dxa"/>
            <w:right w:w="108" w:type="dxa"/>
          </w:tblCellMar>
        </w:tblPrEx>
        <w:trPr>
          <w:trHeight w:val="288" w:hRule="atLeast"/>
        </w:trPr>
        <w:tc>
          <w:tcPr>
            <w:tcW w:w="26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rPr>
                <w:rFonts w:ascii="Times New Roman" w:hAnsi="Times New Roman" w:cs="Times New Roman"/>
                <w:color w:val="000000" w:themeColor="text1"/>
                <w:sz w:val="24"/>
                <w:szCs w:val="24"/>
              </w:rPr>
            </w:pPr>
          </w:p>
        </w:tc>
        <w:tc>
          <w:tcPr>
            <w:tcW w:w="63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rPr>
                <w:rFonts w:ascii="Times New Roman" w:hAnsi="Times New Roman" w:cs="Times New Roman"/>
                <w:color w:val="000000" w:themeColor="text1"/>
                <w:sz w:val="24"/>
                <w:szCs w:val="24"/>
              </w:rPr>
            </w:pPr>
          </w:p>
        </w:tc>
        <w:tc>
          <w:tcPr>
            <w:tcW w:w="85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rPr>
                <w:rFonts w:ascii="Times New Roman" w:hAnsi="Times New Roman" w:cs="Times New Roman"/>
                <w:color w:val="000000" w:themeColor="text1"/>
                <w:sz w:val="24"/>
                <w:szCs w:val="24"/>
              </w:rPr>
            </w:pP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rPr>
                <w:rFonts w:ascii="Times New Roman" w:hAnsi="Times New Roman" w:cs="Times New Roman"/>
                <w:color w:val="000000" w:themeColor="text1"/>
                <w:sz w:val="24"/>
                <w:szCs w:val="24"/>
              </w:rPr>
            </w:pPr>
          </w:p>
        </w:tc>
      </w:tr>
      <w:tr>
        <w:tblPrEx>
          <w:tblCellMar>
            <w:top w:w="0" w:type="dxa"/>
            <w:left w:w="108" w:type="dxa"/>
            <w:bottom w:w="0" w:type="dxa"/>
            <w:right w:w="108" w:type="dxa"/>
          </w:tblCellMar>
        </w:tblPrEx>
        <w:trPr>
          <w:trHeight w:val="445" w:hRule="atLeast"/>
        </w:trPr>
        <w:tc>
          <w:tcPr>
            <w:tcW w:w="26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TOTAL ASSETS</w:t>
            </w:r>
          </w:p>
        </w:tc>
        <w:tc>
          <w:tcPr>
            <w:tcW w:w="63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$154,490.95 </w:t>
            </w:r>
          </w:p>
        </w:tc>
        <w:tc>
          <w:tcPr>
            <w:tcW w:w="85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$232,742.24 </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$335,688.45 </w:t>
            </w:r>
          </w:p>
        </w:tc>
      </w:tr>
      <w:tr>
        <w:tblPrEx>
          <w:tblCellMar>
            <w:top w:w="0" w:type="dxa"/>
            <w:left w:w="108" w:type="dxa"/>
            <w:bottom w:w="0" w:type="dxa"/>
            <w:right w:w="108" w:type="dxa"/>
          </w:tblCellMar>
        </w:tblPrEx>
        <w:trPr>
          <w:trHeight w:val="288" w:hRule="atLeast"/>
        </w:trPr>
        <w:tc>
          <w:tcPr>
            <w:tcW w:w="26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rPr>
                <w:rFonts w:ascii="Times New Roman" w:hAnsi="Times New Roman" w:cs="Times New Roman"/>
                <w:color w:val="000000" w:themeColor="text1"/>
                <w:sz w:val="24"/>
                <w:szCs w:val="24"/>
              </w:rPr>
            </w:pPr>
          </w:p>
        </w:tc>
        <w:tc>
          <w:tcPr>
            <w:tcW w:w="63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rPr>
                <w:rFonts w:ascii="Times New Roman" w:hAnsi="Times New Roman" w:cs="Times New Roman"/>
                <w:color w:val="000000" w:themeColor="text1"/>
                <w:sz w:val="24"/>
                <w:szCs w:val="24"/>
              </w:rPr>
            </w:pPr>
          </w:p>
        </w:tc>
        <w:tc>
          <w:tcPr>
            <w:tcW w:w="85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rPr>
                <w:rFonts w:ascii="Times New Roman" w:hAnsi="Times New Roman" w:cs="Times New Roman"/>
                <w:color w:val="000000" w:themeColor="text1"/>
                <w:sz w:val="24"/>
                <w:szCs w:val="24"/>
              </w:rPr>
            </w:pP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rPr>
                <w:rFonts w:ascii="Times New Roman" w:hAnsi="Times New Roman" w:cs="Times New Roman"/>
                <w:color w:val="000000" w:themeColor="text1"/>
                <w:sz w:val="24"/>
                <w:szCs w:val="24"/>
              </w:rPr>
            </w:pPr>
          </w:p>
        </w:tc>
      </w:tr>
      <w:tr>
        <w:tblPrEx>
          <w:tblCellMar>
            <w:top w:w="0" w:type="dxa"/>
            <w:left w:w="108" w:type="dxa"/>
            <w:bottom w:w="0" w:type="dxa"/>
            <w:right w:w="108" w:type="dxa"/>
          </w:tblCellMar>
        </w:tblPrEx>
        <w:trPr>
          <w:trHeight w:val="420" w:hRule="atLeast"/>
        </w:trPr>
        <w:tc>
          <w:tcPr>
            <w:tcW w:w="26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LIABILITIES &amp; EQUITIES</w:t>
            </w:r>
          </w:p>
        </w:tc>
        <w:tc>
          <w:tcPr>
            <w:tcW w:w="63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rPr>
                <w:rFonts w:ascii="Times New Roman" w:hAnsi="Times New Roman" w:cs="Times New Roman"/>
                <w:color w:val="000000" w:themeColor="text1"/>
                <w:sz w:val="24"/>
                <w:szCs w:val="24"/>
              </w:rPr>
            </w:pPr>
          </w:p>
        </w:tc>
        <w:tc>
          <w:tcPr>
            <w:tcW w:w="85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rPr>
                <w:rFonts w:ascii="Times New Roman" w:hAnsi="Times New Roman" w:cs="Times New Roman"/>
                <w:color w:val="000000" w:themeColor="text1"/>
                <w:sz w:val="24"/>
                <w:szCs w:val="24"/>
              </w:rPr>
            </w:pP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rPr>
                <w:rFonts w:ascii="Times New Roman" w:hAnsi="Times New Roman" w:cs="Times New Roman"/>
                <w:color w:val="000000" w:themeColor="text1"/>
                <w:sz w:val="24"/>
                <w:szCs w:val="24"/>
              </w:rPr>
            </w:pPr>
          </w:p>
        </w:tc>
      </w:tr>
      <w:tr>
        <w:tblPrEx>
          <w:tblCellMar>
            <w:top w:w="0" w:type="dxa"/>
            <w:left w:w="108" w:type="dxa"/>
            <w:bottom w:w="0" w:type="dxa"/>
            <w:right w:w="108" w:type="dxa"/>
          </w:tblCellMar>
        </w:tblPrEx>
        <w:trPr>
          <w:trHeight w:val="288" w:hRule="atLeast"/>
        </w:trPr>
        <w:tc>
          <w:tcPr>
            <w:tcW w:w="26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Current Liabilities</w:t>
            </w:r>
          </w:p>
        </w:tc>
        <w:tc>
          <w:tcPr>
            <w:tcW w:w="63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rPr>
                <w:rFonts w:ascii="Times New Roman" w:hAnsi="Times New Roman" w:cs="Times New Roman"/>
                <w:color w:val="000000" w:themeColor="text1"/>
                <w:sz w:val="24"/>
                <w:szCs w:val="24"/>
              </w:rPr>
            </w:pPr>
          </w:p>
        </w:tc>
        <w:tc>
          <w:tcPr>
            <w:tcW w:w="85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rPr>
                <w:rFonts w:ascii="Times New Roman" w:hAnsi="Times New Roman" w:cs="Times New Roman"/>
                <w:color w:val="000000" w:themeColor="text1"/>
                <w:sz w:val="24"/>
                <w:szCs w:val="24"/>
              </w:rPr>
            </w:pP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rPr>
                <w:rFonts w:ascii="Times New Roman" w:hAnsi="Times New Roman" w:cs="Times New Roman"/>
                <w:color w:val="000000" w:themeColor="text1"/>
                <w:sz w:val="24"/>
                <w:szCs w:val="24"/>
              </w:rPr>
            </w:pPr>
          </w:p>
        </w:tc>
      </w:tr>
      <w:tr>
        <w:tblPrEx>
          <w:tblCellMar>
            <w:top w:w="0" w:type="dxa"/>
            <w:left w:w="108" w:type="dxa"/>
            <w:bottom w:w="0" w:type="dxa"/>
            <w:right w:w="108" w:type="dxa"/>
          </w:tblCellMar>
        </w:tblPrEx>
        <w:trPr>
          <w:trHeight w:val="288" w:hRule="atLeast"/>
        </w:trPr>
        <w:tc>
          <w:tcPr>
            <w:tcW w:w="26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Accounts Payable</w:t>
            </w:r>
          </w:p>
        </w:tc>
        <w:tc>
          <w:tcPr>
            <w:tcW w:w="63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85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r>
      <w:tr>
        <w:tblPrEx>
          <w:tblCellMar>
            <w:top w:w="0" w:type="dxa"/>
            <w:left w:w="108" w:type="dxa"/>
            <w:bottom w:w="0" w:type="dxa"/>
            <w:right w:w="108" w:type="dxa"/>
          </w:tblCellMar>
        </w:tblPrEx>
        <w:trPr>
          <w:trHeight w:val="288" w:hRule="atLeast"/>
        </w:trPr>
        <w:tc>
          <w:tcPr>
            <w:tcW w:w="26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Interest Payable</w:t>
            </w:r>
          </w:p>
        </w:tc>
        <w:tc>
          <w:tcPr>
            <w:tcW w:w="63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85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r>
      <w:tr>
        <w:tblPrEx>
          <w:tblCellMar>
            <w:top w:w="0" w:type="dxa"/>
            <w:left w:w="108" w:type="dxa"/>
            <w:bottom w:w="0" w:type="dxa"/>
            <w:right w:w="108" w:type="dxa"/>
          </w:tblCellMar>
        </w:tblPrEx>
        <w:trPr>
          <w:trHeight w:val="288" w:hRule="atLeast"/>
        </w:trPr>
        <w:tc>
          <w:tcPr>
            <w:tcW w:w="26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Taxes Payable</w:t>
            </w:r>
          </w:p>
        </w:tc>
        <w:tc>
          <w:tcPr>
            <w:tcW w:w="63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85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r>
      <w:tr>
        <w:tblPrEx>
          <w:tblCellMar>
            <w:top w:w="0" w:type="dxa"/>
            <w:left w:w="108" w:type="dxa"/>
            <w:bottom w:w="0" w:type="dxa"/>
            <w:right w:w="108" w:type="dxa"/>
          </w:tblCellMar>
        </w:tblPrEx>
        <w:trPr>
          <w:trHeight w:val="288" w:hRule="atLeast"/>
        </w:trPr>
        <w:tc>
          <w:tcPr>
            <w:tcW w:w="26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Short Term Notes (due in 1 year)</w:t>
            </w:r>
          </w:p>
        </w:tc>
        <w:tc>
          <w:tcPr>
            <w:tcW w:w="63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85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r>
      <w:tr>
        <w:tblPrEx>
          <w:tblCellMar>
            <w:top w:w="0" w:type="dxa"/>
            <w:left w:w="108" w:type="dxa"/>
            <w:bottom w:w="0" w:type="dxa"/>
            <w:right w:w="108" w:type="dxa"/>
          </w:tblCellMar>
        </w:tblPrEx>
        <w:trPr>
          <w:trHeight w:val="288" w:hRule="atLeast"/>
        </w:trPr>
        <w:tc>
          <w:tcPr>
            <w:tcW w:w="26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Current Part, Long Term Debt</w:t>
            </w:r>
          </w:p>
        </w:tc>
        <w:tc>
          <w:tcPr>
            <w:tcW w:w="63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85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r>
      <w:tr>
        <w:tblPrEx>
          <w:tblCellMar>
            <w:top w:w="0" w:type="dxa"/>
            <w:left w:w="108" w:type="dxa"/>
            <w:bottom w:w="0" w:type="dxa"/>
            <w:right w:w="108" w:type="dxa"/>
          </w:tblCellMar>
        </w:tblPrEx>
        <w:trPr>
          <w:trHeight w:val="288" w:hRule="atLeast"/>
        </w:trPr>
        <w:tc>
          <w:tcPr>
            <w:tcW w:w="26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TOTAL CURRENT LIABILITIES</w:t>
            </w:r>
          </w:p>
        </w:tc>
        <w:tc>
          <w:tcPr>
            <w:tcW w:w="63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85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r>
      <w:tr>
        <w:tblPrEx>
          <w:tblCellMar>
            <w:top w:w="0" w:type="dxa"/>
            <w:left w:w="108" w:type="dxa"/>
            <w:bottom w:w="0" w:type="dxa"/>
            <w:right w:w="108" w:type="dxa"/>
          </w:tblCellMar>
        </w:tblPrEx>
        <w:trPr>
          <w:trHeight w:val="288" w:hRule="atLeast"/>
        </w:trPr>
        <w:tc>
          <w:tcPr>
            <w:tcW w:w="26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rPr>
                <w:rFonts w:ascii="Times New Roman" w:hAnsi="Times New Roman" w:cs="Times New Roman"/>
                <w:color w:val="000000" w:themeColor="text1"/>
                <w:sz w:val="24"/>
                <w:szCs w:val="24"/>
              </w:rPr>
            </w:pPr>
          </w:p>
        </w:tc>
        <w:tc>
          <w:tcPr>
            <w:tcW w:w="63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rPr>
                <w:rFonts w:ascii="Times New Roman" w:hAnsi="Times New Roman" w:cs="Times New Roman"/>
                <w:color w:val="000000" w:themeColor="text1"/>
                <w:sz w:val="24"/>
                <w:szCs w:val="24"/>
              </w:rPr>
            </w:pPr>
          </w:p>
        </w:tc>
        <w:tc>
          <w:tcPr>
            <w:tcW w:w="85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rPr>
                <w:rFonts w:ascii="Times New Roman" w:hAnsi="Times New Roman" w:cs="Times New Roman"/>
                <w:color w:val="000000" w:themeColor="text1"/>
                <w:sz w:val="24"/>
                <w:szCs w:val="24"/>
              </w:rPr>
            </w:pP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rPr>
                <w:rFonts w:ascii="Times New Roman" w:hAnsi="Times New Roman" w:cs="Times New Roman"/>
                <w:color w:val="000000" w:themeColor="text1"/>
                <w:sz w:val="24"/>
                <w:szCs w:val="24"/>
              </w:rPr>
            </w:pPr>
          </w:p>
        </w:tc>
      </w:tr>
      <w:tr>
        <w:tblPrEx>
          <w:tblCellMar>
            <w:top w:w="0" w:type="dxa"/>
            <w:left w:w="108" w:type="dxa"/>
            <w:bottom w:w="0" w:type="dxa"/>
            <w:right w:w="108" w:type="dxa"/>
          </w:tblCellMar>
        </w:tblPrEx>
        <w:trPr>
          <w:trHeight w:val="288" w:hRule="atLeast"/>
        </w:trPr>
        <w:tc>
          <w:tcPr>
            <w:tcW w:w="26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Long Term Debt</w:t>
            </w:r>
          </w:p>
        </w:tc>
        <w:tc>
          <w:tcPr>
            <w:tcW w:w="63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rPr>
                <w:rFonts w:ascii="Times New Roman" w:hAnsi="Times New Roman" w:cs="Times New Roman"/>
                <w:color w:val="000000" w:themeColor="text1"/>
                <w:sz w:val="24"/>
                <w:szCs w:val="24"/>
              </w:rPr>
            </w:pPr>
          </w:p>
        </w:tc>
        <w:tc>
          <w:tcPr>
            <w:tcW w:w="85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rPr>
                <w:rFonts w:ascii="Times New Roman" w:hAnsi="Times New Roman" w:cs="Times New Roman"/>
                <w:color w:val="000000" w:themeColor="text1"/>
                <w:sz w:val="24"/>
                <w:szCs w:val="24"/>
              </w:rPr>
            </w:pP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rPr>
                <w:rFonts w:ascii="Times New Roman" w:hAnsi="Times New Roman" w:cs="Times New Roman"/>
                <w:color w:val="000000" w:themeColor="text1"/>
                <w:sz w:val="24"/>
                <w:szCs w:val="24"/>
              </w:rPr>
            </w:pPr>
          </w:p>
        </w:tc>
      </w:tr>
      <w:tr>
        <w:tblPrEx>
          <w:tblCellMar>
            <w:top w:w="0" w:type="dxa"/>
            <w:left w:w="108" w:type="dxa"/>
            <w:bottom w:w="0" w:type="dxa"/>
            <w:right w:w="108" w:type="dxa"/>
          </w:tblCellMar>
        </w:tblPrEx>
        <w:trPr>
          <w:trHeight w:val="288" w:hRule="atLeast"/>
        </w:trPr>
        <w:tc>
          <w:tcPr>
            <w:tcW w:w="26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Bank Loans Payable</w:t>
            </w:r>
          </w:p>
        </w:tc>
        <w:tc>
          <w:tcPr>
            <w:tcW w:w="63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$50,000.00 </w:t>
            </w:r>
          </w:p>
        </w:tc>
        <w:tc>
          <w:tcPr>
            <w:tcW w:w="85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$50,000.00 </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$50,000.00 </w:t>
            </w:r>
          </w:p>
        </w:tc>
      </w:tr>
      <w:tr>
        <w:tblPrEx>
          <w:tblCellMar>
            <w:top w:w="0" w:type="dxa"/>
            <w:left w:w="108" w:type="dxa"/>
            <w:bottom w:w="0" w:type="dxa"/>
            <w:right w:w="108" w:type="dxa"/>
          </w:tblCellMar>
        </w:tblPrEx>
        <w:trPr>
          <w:trHeight w:val="288" w:hRule="atLeast"/>
        </w:trPr>
        <w:tc>
          <w:tcPr>
            <w:tcW w:w="26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Notes Payable to Stockholders</w:t>
            </w:r>
          </w:p>
        </w:tc>
        <w:tc>
          <w:tcPr>
            <w:tcW w:w="63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85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r>
      <w:tr>
        <w:tblPrEx>
          <w:tblCellMar>
            <w:top w:w="0" w:type="dxa"/>
            <w:left w:w="108" w:type="dxa"/>
            <w:bottom w:w="0" w:type="dxa"/>
            <w:right w:w="108" w:type="dxa"/>
          </w:tblCellMar>
        </w:tblPrEx>
        <w:trPr>
          <w:trHeight w:val="288" w:hRule="atLeast"/>
        </w:trPr>
        <w:tc>
          <w:tcPr>
            <w:tcW w:w="26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LESS:  Short Term Portion</w:t>
            </w:r>
          </w:p>
        </w:tc>
        <w:tc>
          <w:tcPr>
            <w:tcW w:w="63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85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r>
      <w:tr>
        <w:tblPrEx>
          <w:tblCellMar>
            <w:top w:w="0" w:type="dxa"/>
            <w:left w:w="108" w:type="dxa"/>
            <w:bottom w:w="0" w:type="dxa"/>
            <w:right w:w="108" w:type="dxa"/>
          </w:tblCellMar>
        </w:tblPrEx>
        <w:trPr>
          <w:trHeight w:val="288" w:hRule="atLeast"/>
        </w:trPr>
        <w:tc>
          <w:tcPr>
            <w:tcW w:w="26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Other Long-Term Debt</w:t>
            </w:r>
          </w:p>
        </w:tc>
        <w:tc>
          <w:tcPr>
            <w:tcW w:w="63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85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r>
      <w:tr>
        <w:tblPrEx>
          <w:tblCellMar>
            <w:top w:w="0" w:type="dxa"/>
            <w:left w:w="108" w:type="dxa"/>
            <w:bottom w:w="0" w:type="dxa"/>
            <w:right w:w="108" w:type="dxa"/>
          </w:tblCellMar>
        </w:tblPrEx>
        <w:trPr>
          <w:trHeight w:val="288" w:hRule="atLeast"/>
        </w:trPr>
        <w:tc>
          <w:tcPr>
            <w:tcW w:w="26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TOTAL LONG-TERM DEBT</w:t>
            </w:r>
          </w:p>
        </w:tc>
        <w:tc>
          <w:tcPr>
            <w:tcW w:w="63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$50,000.00 </w:t>
            </w:r>
          </w:p>
        </w:tc>
        <w:tc>
          <w:tcPr>
            <w:tcW w:w="85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$50,000.00 </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$50,000.00 </w:t>
            </w:r>
          </w:p>
        </w:tc>
      </w:tr>
      <w:tr>
        <w:tblPrEx>
          <w:tblCellMar>
            <w:top w:w="0" w:type="dxa"/>
            <w:left w:w="108" w:type="dxa"/>
            <w:bottom w:w="0" w:type="dxa"/>
            <w:right w:w="108" w:type="dxa"/>
          </w:tblCellMar>
        </w:tblPrEx>
        <w:trPr>
          <w:trHeight w:val="288" w:hRule="atLeast"/>
        </w:trPr>
        <w:tc>
          <w:tcPr>
            <w:tcW w:w="26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TOTAL LIABILITIES</w:t>
            </w:r>
          </w:p>
        </w:tc>
        <w:tc>
          <w:tcPr>
            <w:tcW w:w="63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$50,000.00 </w:t>
            </w:r>
          </w:p>
        </w:tc>
        <w:tc>
          <w:tcPr>
            <w:tcW w:w="85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$50,000.00 </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$50,000.00 </w:t>
            </w:r>
          </w:p>
        </w:tc>
      </w:tr>
      <w:tr>
        <w:tblPrEx>
          <w:tblCellMar>
            <w:top w:w="0" w:type="dxa"/>
            <w:left w:w="108" w:type="dxa"/>
            <w:bottom w:w="0" w:type="dxa"/>
            <w:right w:w="108" w:type="dxa"/>
          </w:tblCellMar>
        </w:tblPrEx>
        <w:trPr>
          <w:trHeight w:val="288" w:hRule="atLeast"/>
        </w:trPr>
        <w:tc>
          <w:tcPr>
            <w:tcW w:w="26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rPr>
                <w:rFonts w:ascii="Times New Roman" w:hAnsi="Times New Roman" w:cs="Times New Roman"/>
                <w:color w:val="000000" w:themeColor="text1"/>
                <w:sz w:val="24"/>
                <w:szCs w:val="24"/>
              </w:rPr>
            </w:pPr>
          </w:p>
        </w:tc>
        <w:tc>
          <w:tcPr>
            <w:tcW w:w="63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rPr>
                <w:rFonts w:ascii="Times New Roman" w:hAnsi="Times New Roman" w:cs="Times New Roman"/>
                <w:color w:val="000000" w:themeColor="text1"/>
                <w:sz w:val="24"/>
                <w:szCs w:val="24"/>
              </w:rPr>
            </w:pPr>
          </w:p>
        </w:tc>
        <w:tc>
          <w:tcPr>
            <w:tcW w:w="85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rPr>
                <w:rFonts w:ascii="Times New Roman" w:hAnsi="Times New Roman" w:cs="Times New Roman"/>
                <w:color w:val="000000" w:themeColor="text1"/>
                <w:sz w:val="24"/>
                <w:szCs w:val="24"/>
              </w:rPr>
            </w:pP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rPr>
                <w:rFonts w:ascii="Times New Roman" w:hAnsi="Times New Roman" w:cs="Times New Roman"/>
                <w:color w:val="000000" w:themeColor="text1"/>
                <w:sz w:val="24"/>
                <w:szCs w:val="24"/>
              </w:rPr>
            </w:pPr>
          </w:p>
        </w:tc>
      </w:tr>
      <w:tr>
        <w:trPr>
          <w:trHeight w:val="288" w:hRule="atLeast"/>
        </w:trPr>
        <w:tc>
          <w:tcPr>
            <w:tcW w:w="26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Owner's Equity</w:t>
            </w:r>
          </w:p>
        </w:tc>
        <w:tc>
          <w:tcPr>
            <w:tcW w:w="63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rPr>
                <w:rFonts w:ascii="Times New Roman" w:hAnsi="Times New Roman" w:cs="Times New Roman"/>
                <w:color w:val="000000" w:themeColor="text1"/>
                <w:sz w:val="24"/>
                <w:szCs w:val="24"/>
              </w:rPr>
            </w:pPr>
          </w:p>
        </w:tc>
        <w:tc>
          <w:tcPr>
            <w:tcW w:w="85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rPr>
                <w:rFonts w:ascii="Times New Roman" w:hAnsi="Times New Roman" w:cs="Times New Roman"/>
                <w:color w:val="000000" w:themeColor="text1"/>
                <w:sz w:val="24"/>
                <w:szCs w:val="24"/>
              </w:rPr>
            </w:pP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rPr>
                <w:rFonts w:ascii="Times New Roman" w:hAnsi="Times New Roman" w:cs="Times New Roman"/>
                <w:color w:val="000000" w:themeColor="text1"/>
                <w:sz w:val="24"/>
                <w:szCs w:val="24"/>
              </w:rPr>
            </w:pPr>
          </w:p>
        </w:tc>
      </w:tr>
      <w:tr>
        <w:tblPrEx>
          <w:tblCellMar>
            <w:top w:w="0" w:type="dxa"/>
            <w:left w:w="108" w:type="dxa"/>
            <w:bottom w:w="0" w:type="dxa"/>
            <w:right w:w="108" w:type="dxa"/>
          </w:tblCellMar>
        </w:tblPrEx>
        <w:trPr>
          <w:trHeight w:val="288" w:hRule="atLeast"/>
        </w:trPr>
        <w:tc>
          <w:tcPr>
            <w:tcW w:w="26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Common Stock</w:t>
            </w:r>
          </w:p>
        </w:tc>
        <w:tc>
          <w:tcPr>
            <w:tcW w:w="63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$50,000.00 </w:t>
            </w:r>
          </w:p>
        </w:tc>
        <w:tc>
          <w:tcPr>
            <w:tcW w:w="85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$50,000.00 </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$50,000.00 </w:t>
            </w:r>
          </w:p>
        </w:tc>
      </w:tr>
      <w:tr>
        <w:tblPrEx>
          <w:tblCellMar>
            <w:top w:w="0" w:type="dxa"/>
            <w:left w:w="108" w:type="dxa"/>
            <w:bottom w:w="0" w:type="dxa"/>
            <w:right w:w="108" w:type="dxa"/>
          </w:tblCellMar>
        </w:tblPrEx>
        <w:trPr>
          <w:trHeight w:val="288" w:hRule="atLeast"/>
        </w:trPr>
        <w:tc>
          <w:tcPr>
            <w:tcW w:w="26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Retained Earnings</w:t>
            </w:r>
          </w:p>
        </w:tc>
        <w:tc>
          <w:tcPr>
            <w:tcW w:w="63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$54,490.95 </w:t>
            </w:r>
          </w:p>
        </w:tc>
        <w:tc>
          <w:tcPr>
            <w:tcW w:w="85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$132,742.25 </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$235,688.46 </w:t>
            </w:r>
          </w:p>
        </w:tc>
      </w:tr>
      <w:tr>
        <w:trPr>
          <w:trHeight w:val="288" w:hRule="atLeast"/>
        </w:trPr>
        <w:tc>
          <w:tcPr>
            <w:tcW w:w="26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TOTAL OWNER'S EQUITY</w:t>
            </w:r>
          </w:p>
        </w:tc>
        <w:tc>
          <w:tcPr>
            <w:tcW w:w="63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$104,490.95 </w:t>
            </w:r>
          </w:p>
        </w:tc>
        <w:tc>
          <w:tcPr>
            <w:tcW w:w="85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$182,742.25 </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$285,688.46 </w:t>
            </w:r>
          </w:p>
        </w:tc>
      </w:tr>
      <w:tr>
        <w:tblPrEx>
          <w:tblCellMar>
            <w:top w:w="0" w:type="dxa"/>
            <w:left w:w="108" w:type="dxa"/>
            <w:bottom w:w="0" w:type="dxa"/>
            <w:right w:w="108" w:type="dxa"/>
          </w:tblCellMar>
        </w:tblPrEx>
        <w:trPr>
          <w:trHeight w:val="288" w:hRule="atLeast"/>
        </w:trPr>
        <w:tc>
          <w:tcPr>
            <w:tcW w:w="26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TOTAL LIABILITIES &amp; EQUITIES</w:t>
            </w:r>
          </w:p>
        </w:tc>
        <w:tc>
          <w:tcPr>
            <w:tcW w:w="63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$154,490.95 </w:t>
            </w:r>
          </w:p>
        </w:tc>
        <w:tc>
          <w:tcPr>
            <w:tcW w:w="85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$232,742.25 </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$335,688.46 </w:t>
            </w:r>
          </w:p>
        </w:tc>
      </w:tr>
    </w:tbl>
    <w:p>
      <w:pPr>
        <w:rPr>
          <w:rFonts w:ascii="Times New Roman" w:hAnsi="Times New Roman" w:cs="Times New Roman"/>
          <w:color w:val="000000" w:themeColor="text1"/>
          <w:sz w:val="24"/>
          <w:szCs w:val="24"/>
        </w:rPr>
      </w:pPr>
    </w:p>
    <w:p>
      <w:pPr>
        <w:pStyle w:val="3"/>
        <w:rPr>
          <w:rFonts w:ascii="Times New Roman" w:hAnsi="Times New Roman" w:cs="Times New Roman"/>
          <w:color w:val="000000" w:themeColor="text1"/>
          <w:sz w:val="24"/>
          <w:szCs w:val="24"/>
        </w:rPr>
      </w:pPr>
      <w:bookmarkStart w:id="36" w:name="_Toc65147166"/>
      <w:r>
        <w:rPr>
          <w:rFonts w:ascii="Times New Roman" w:hAnsi="Times New Roman" w:cs="Times New Roman"/>
          <w:color w:val="000000" w:themeColor="text1"/>
          <w:sz w:val="24"/>
          <w:szCs w:val="24"/>
        </w:rPr>
        <w:t>7.5 Break-even Point</w:t>
      </w:r>
      <w:bookmarkEnd w:id="36"/>
    </w:p>
    <w:tbl>
      <w:tblPr>
        <w:tblStyle w:val="6"/>
        <w:tblW w:w="5000" w:type="pct"/>
        <w:tblInd w:w="0" w:type="dxa"/>
        <w:tblLayout w:type="autofit"/>
        <w:tblCellMar>
          <w:top w:w="0" w:type="dxa"/>
          <w:left w:w="108" w:type="dxa"/>
          <w:bottom w:w="0" w:type="dxa"/>
          <w:right w:w="108" w:type="dxa"/>
        </w:tblCellMar>
      </w:tblPr>
      <w:tblGrid>
        <w:gridCol w:w="6251"/>
        <w:gridCol w:w="3325"/>
      </w:tblGrid>
      <w:tr>
        <w:tblPrEx>
          <w:tblCellMar>
            <w:top w:w="0" w:type="dxa"/>
            <w:left w:w="108" w:type="dxa"/>
            <w:bottom w:w="0" w:type="dxa"/>
            <w:right w:w="108" w:type="dxa"/>
          </w:tblCellMar>
        </w:tblPrEx>
        <w:trPr>
          <w:trHeight w:val="360" w:hRule="atLeast"/>
        </w:trPr>
        <w:tc>
          <w:tcPr>
            <w:tcW w:w="5000" w:type="pct"/>
            <w:gridSpan w:val="2"/>
            <w:tcBorders>
              <w:top w:val="single" w:color="000000" w:sz="4" w:space="0"/>
              <w:left w:val="single" w:color="000000" w:sz="4" w:space="0"/>
              <w:bottom w:val="single" w:color="000000" w:sz="4" w:space="0"/>
              <w:right w:val="single" w:color="000000" w:sz="4" w:space="0"/>
            </w:tcBorders>
            <w:shd w:val="clear" w:color="auto" w:fill="FCD5B4"/>
            <w:noWrap/>
            <w:vAlign w:val="bottom"/>
          </w:tcPr>
          <w:p>
            <w:pPr>
              <w:spacing w:line="240" w:lineRule="auto"/>
              <w:jc w:val="center"/>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Calculation of Break even Point</w:t>
            </w:r>
          </w:p>
        </w:tc>
      </w:tr>
      <w:tr>
        <w:tblPrEx>
          <w:tblCellMar>
            <w:top w:w="0" w:type="dxa"/>
            <w:left w:w="108" w:type="dxa"/>
            <w:bottom w:w="0" w:type="dxa"/>
            <w:right w:w="108" w:type="dxa"/>
          </w:tblCellMar>
        </w:tblPrEx>
        <w:trPr>
          <w:trHeight w:val="288" w:hRule="atLeast"/>
        </w:trPr>
        <w:tc>
          <w:tcPr>
            <w:tcW w:w="5000" w:type="pct"/>
            <w:gridSpan w:val="2"/>
            <w:tcBorders>
              <w:top w:val="single" w:color="000000" w:sz="4" w:space="0"/>
              <w:left w:val="single" w:color="000000" w:sz="4" w:space="0"/>
              <w:bottom w:val="single" w:color="000000" w:sz="4" w:space="0"/>
              <w:right w:val="single" w:color="000000" w:sz="4" w:space="0"/>
            </w:tcBorders>
            <w:shd w:val="clear" w:color="auto" w:fill="FCD5B4"/>
            <w:noWrap/>
            <w:vAlign w:val="bottom"/>
          </w:tcPr>
          <w:p>
            <w:pPr>
              <w:spacing w:line="240" w:lineRule="auto"/>
              <w:jc w:val="center"/>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Carnival Row Tech Consulting Limited</w:t>
            </w:r>
          </w:p>
        </w:tc>
      </w:tr>
      <w:tr>
        <w:tblPrEx>
          <w:tblCellMar>
            <w:top w:w="0" w:type="dxa"/>
            <w:left w:w="108" w:type="dxa"/>
            <w:bottom w:w="0" w:type="dxa"/>
            <w:right w:w="108" w:type="dxa"/>
          </w:tblCellMar>
        </w:tblPrEx>
        <w:trPr>
          <w:trHeight w:val="288" w:hRule="atLeast"/>
        </w:trPr>
        <w:tc>
          <w:tcPr>
            <w:tcW w:w="3264" w:type="pct"/>
            <w:tcBorders>
              <w:top w:val="single" w:color="000000" w:sz="4" w:space="0"/>
              <w:left w:val="single" w:color="000000" w:sz="4" w:space="0"/>
              <w:bottom w:val="single" w:color="000000" w:sz="4" w:space="0"/>
              <w:right w:val="single" w:color="000000" w:sz="4" w:space="0"/>
            </w:tcBorders>
            <w:shd w:val="clear" w:color="auto" w:fill="FCD5B4"/>
            <w:vAlign w:val="bottom"/>
          </w:tcPr>
          <w:p>
            <w:pPr>
              <w:spacing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Particulars</w:t>
            </w:r>
          </w:p>
        </w:tc>
        <w:tc>
          <w:tcPr>
            <w:tcW w:w="1735" w:type="pct"/>
            <w:tcBorders>
              <w:top w:val="single" w:color="000000" w:sz="4" w:space="0"/>
              <w:left w:val="single" w:color="000000" w:sz="4" w:space="0"/>
              <w:bottom w:val="single" w:color="000000" w:sz="4" w:space="0"/>
              <w:right w:val="single" w:color="000000" w:sz="4" w:space="0"/>
            </w:tcBorders>
            <w:shd w:val="clear" w:color="auto" w:fill="FCD5B4"/>
            <w:noWrap/>
            <w:vAlign w:val="bottom"/>
          </w:tcPr>
          <w:p>
            <w:pPr>
              <w:spacing w:line="240" w:lineRule="auto"/>
              <w:rPr>
                <w:rFonts w:ascii="Times New Roman" w:hAnsi="Times New Roman" w:cs="Times New Roman"/>
                <w:b/>
                <w:bCs/>
                <w:color w:val="000000" w:themeColor="text1"/>
                <w:sz w:val="24"/>
                <w:szCs w:val="24"/>
              </w:rPr>
            </w:pPr>
          </w:p>
        </w:tc>
      </w:tr>
      <w:tr>
        <w:tblPrEx>
          <w:tblCellMar>
            <w:top w:w="0" w:type="dxa"/>
            <w:left w:w="108" w:type="dxa"/>
            <w:bottom w:w="0" w:type="dxa"/>
            <w:right w:w="108" w:type="dxa"/>
          </w:tblCellMar>
        </w:tblPrEx>
        <w:trPr>
          <w:trHeight w:val="288" w:hRule="atLeast"/>
        </w:trPr>
        <w:tc>
          <w:tcPr>
            <w:tcW w:w="3264" w:type="pct"/>
            <w:tcBorders>
              <w:top w:val="single" w:color="000000" w:sz="4" w:space="0"/>
              <w:left w:val="single" w:color="000000" w:sz="4" w:space="0"/>
              <w:bottom w:val="single" w:color="000000" w:sz="4" w:space="0"/>
              <w:right w:val="single" w:color="000000" w:sz="4" w:space="0"/>
            </w:tcBorders>
            <w:shd w:val="clear" w:color="auto" w:fill="FCD5B4"/>
            <w:noWrap/>
            <w:vAlign w:val="bottom"/>
          </w:tcPr>
          <w:p>
            <w:pPr>
              <w:spacing w:line="240" w:lineRule="auto"/>
              <w:rPr>
                <w:rFonts w:ascii="Times New Roman" w:hAnsi="Times New Roman" w:cs="Times New Roman"/>
                <w:color w:val="000000" w:themeColor="text1"/>
                <w:sz w:val="24"/>
                <w:szCs w:val="24"/>
              </w:rPr>
            </w:pPr>
          </w:p>
        </w:tc>
        <w:tc>
          <w:tcPr>
            <w:tcW w:w="1735" w:type="pct"/>
            <w:tcBorders>
              <w:top w:val="single" w:color="000000" w:sz="4" w:space="0"/>
              <w:left w:val="single" w:color="000000" w:sz="4" w:space="0"/>
              <w:bottom w:val="single" w:color="000000" w:sz="4" w:space="0"/>
              <w:right w:val="single" w:color="000000" w:sz="4" w:space="0"/>
            </w:tcBorders>
            <w:shd w:val="clear" w:color="auto" w:fill="FCD5B4"/>
            <w:noWrap/>
            <w:vAlign w:val="bottom"/>
          </w:tcPr>
          <w:p>
            <w:pPr>
              <w:spacing w:line="240" w:lineRule="auto"/>
              <w:rPr>
                <w:rFonts w:ascii="Times New Roman" w:hAnsi="Times New Roman" w:cs="Times New Roman"/>
                <w:color w:val="000000" w:themeColor="text1"/>
                <w:sz w:val="24"/>
                <w:szCs w:val="24"/>
              </w:rPr>
            </w:pPr>
          </w:p>
        </w:tc>
      </w:tr>
      <w:tr>
        <w:tblPrEx>
          <w:tblCellMar>
            <w:top w:w="0" w:type="dxa"/>
            <w:left w:w="108" w:type="dxa"/>
            <w:bottom w:w="0" w:type="dxa"/>
            <w:right w:w="108" w:type="dxa"/>
          </w:tblCellMar>
        </w:tblPrEx>
        <w:trPr>
          <w:trHeight w:val="288" w:hRule="atLeast"/>
        </w:trPr>
        <w:tc>
          <w:tcPr>
            <w:tcW w:w="3264" w:type="pct"/>
            <w:tcBorders>
              <w:top w:val="single" w:color="000000" w:sz="4" w:space="0"/>
              <w:left w:val="single" w:color="000000" w:sz="4" w:space="0"/>
              <w:bottom w:val="single" w:color="000000" w:sz="4" w:space="0"/>
              <w:right w:val="single" w:color="000000" w:sz="4" w:space="0"/>
            </w:tcBorders>
            <w:shd w:val="clear" w:color="auto" w:fill="FCD5B4"/>
            <w:noWrap/>
            <w:vAlign w:val="bottom"/>
          </w:tcPr>
          <w:p>
            <w:pPr>
              <w:spacing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Sales</w:t>
            </w:r>
          </w:p>
        </w:tc>
        <w:tc>
          <w:tcPr>
            <w:tcW w:w="1735" w:type="pct"/>
            <w:tcBorders>
              <w:top w:val="single" w:color="000000" w:sz="4" w:space="0"/>
              <w:left w:val="single" w:color="000000" w:sz="4" w:space="0"/>
              <w:bottom w:val="single" w:color="000000" w:sz="4" w:space="0"/>
              <w:right w:val="single" w:color="000000" w:sz="4" w:space="0"/>
            </w:tcBorders>
            <w:shd w:val="clear" w:color="auto" w:fill="FCD5B4"/>
            <w:noWrap/>
            <w:vAlign w:val="bottom"/>
          </w:tcPr>
          <w:p>
            <w:pPr>
              <w:spacing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$505,400 </w:t>
            </w:r>
          </w:p>
        </w:tc>
      </w:tr>
      <w:tr>
        <w:tblPrEx>
          <w:tblCellMar>
            <w:top w:w="0" w:type="dxa"/>
            <w:left w:w="108" w:type="dxa"/>
            <w:bottom w:w="0" w:type="dxa"/>
            <w:right w:w="108" w:type="dxa"/>
          </w:tblCellMar>
        </w:tblPrEx>
        <w:trPr>
          <w:trHeight w:val="288" w:hRule="atLeast"/>
        </w:trPr>
        <w:tc>
          <w:tcPr>
            <w:tcW w:w="3264" w:type="pct"/>
            <w:tcBorders>
              <w:top w:val="single" w:color="000000" w:sz="4" w:space="0"/>
              <w:left w:val="single" w:color="000000" w:sz="4" w:space="0"/>
              <w:bottom w:val="single" w:color="000000" w:sz="4" w:space="0"/>
              <w:right w:val="single" w:color="000000" w:sz="4" w:space="0"/>
            </w:tcBorders>
            <w:shd w:val="clear" w:color="auto" w:fill="FCD5B4"/>
            <w:noWrap/>
            <w:vAlign w:val="bottom"/>
          </w:tcPr>
          <w:p>
            <w:pPr>
              <w:spacing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Cost of Service</w:t>
            </w:r>
          </w:p>
        </w:tc>
        <w:tc>
          <w:tcPr>
            <w:tcW w:w="1735" w:type="pct"/>
            <w:tcBorders>
              <w:top w:val="single" w:color="000000" w:sz="4" w:space="0"/>
              <w:left w:val="single" w:color="000000" w:sz="4" w:space="0"/>
              <w:bottom w:val="single" w:color="000000" w:sz="4" w:space="0"/>
              <w:right w:val="single" w:color="000000" w:sz="4" w:space="0"/>
            </w:tcBorders>
            <w:shd w:val="clear" w:color="auto" w:fill="FCD5B4"/>
            <w:noWrap/>
            <w:vAlign w:val="bottom"/>
          </w:tcPr>
          <w:p>
            <w:pPr>
              <w:spacing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$160,345 </w:t>
            </w:r>
          </w:p>
        </w:tc>
      </w:tr>
      <w:tr>
        <w:tblPrEx>
          <w:tblCellMar>
            <w:top w:w="0" w:type="dxa"/>
            <w:left w:w="108" w:type="dxa"/>
            <w:bottom w:w="0" w:type="dxa"/>
            <w:right w:w="108" w:type="dxa"/>
          </w:tblCellMar>
        </w:tblPrEx>
        <w:trPr>
          <w:trHeight w:val="288" w:hRule="atLeast"/>
        </w:trPr>
        <w:tc>
          <w:tcPr>
            <w:tcW w:w="3264" w:type="pct"/>
            <w:tcBorders>
              <w:top w:val="single" w:color="000000" w:sz="4" w:space="0"/>
              <w:left w:val="single" w:color="000000" w:sz="4" w:space="0"/>
              <w:bottom w:val="single" w:color="000000" w:sz="4" w:space="0"/>
              <w:right w:val="single" w:color="000000" w:sz="4" w:space="0"/>
            </w:tcBorders>
            <w:shd w:val="clear" w:color="auto" w:fill="FCD5B4"/>
            <w:noWrap/>
            <w:vAlign w:val="bottom"/>
          </w:tcPr>
          <w:p>
            <w:pPr>
              <w:spacing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Contribution</w:t>
            </w:r>
          </w:p>
        </w:tc>
        <w:tc>
          <w:tcPr>
            <w:tcW w:w="1735" w:type="pct"/>
            <w:tcBorders>
              <w:top w:val="single" w:color="000000" w:sz="4" w:space="0"/>
              <w:left w:val="single" w:color="000000" w:sz="4" w:space="0"/>
              <w:bottom w:val="single" w:color="000000" w:sz="4" w:space="0"/>
              <w:right w:val="single" w:color="000000" w:sz="4" w:space="0"/>
            </w:tcBorders>
            <w:shd w:val="clear" w:color="auto" w:fill="FCD5B4"/>
            <w:noWrap/>
            <w:vAlign w:val="bottom"/>
          </w:tcPr>
          <w:p>
            <w:pPr>
              <w:spacing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$345,055 </w:t>
            </w:r>
          </w:p>
        </w:tc>
      </w:tr>
      <w:tr>
        <w:tblPrEx>
          <w:tblCellMar>
            <w:top w:w="0" w:type="dxa"/>
            <w:left w:w="108" w:type="dxa"/>
            <w:bottom w:w="0" w:type="dxa"/>
            <w:right w:w="108" w:type="dxa"/>
          </w:tblCellMar>
        </w:tblPrEx>
        <w:trPr>
          <w:trHeight w:val="288" w:hRule="atLeast"/>
        </w:trPr>
        <w:tc>
          <w:tcPr>
            <w:tcW w:w="3264" w:type="pct"/>
            <w:tcBorders>
              <w:top w:val="single" w:color="000000" w:sz="4" w:space="0"/>
              <w:left w:val="single" w:color="000000" w:sz="4" w:space="0"/>
              <w:bottom w:val="single" w:color="000000" w:sz="4" w:space="0"/>
              <w:right w:val="single" w:color="000000" w:sz="4" w:space="0"/>
            </w:tcBorders>
            <w:shd w:val="clear" w:color="auto" w:fill="FCD5B4"/>
            <w:noWrap/>
            <w:vAlign w:val="bottom"/>
          </w:tcPr>
          <w:p>
            <w:pPr>
              <w:spacing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Contribution per Unit</w:t>
            </w:r>
          </w:p>
        </w:tc>
        <w:tc>
          <w:tcPr>
            <w:tcW w:w="1735" w:type="pct"/>
            <w:tcBorders>
              <w:top w:val="single" w:color="000000" w:sz="4" w:space="0"/>
              <w:left w:val="single" w:color="000000" w:sz="4" w:space="0"/>
              <w:bottom w:val="single" w:color="000000" w:sz="4" w:space="0"/>
              <w:right w:val="single" w:color="000000" w:sz="4" w:space="0"/>
            </w:tcBorders>
            <w:shd w:val="clear" w:color="auto" w:fill="FCD5B4"/>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$371 </w:t>
            </w:r>
          </w:p>
        </w:tc>
      </w:tr>
      <w:tr>
        <w:tblPrEx>
          <w:tblCellMar>
            <w:top w:w="0" w:type="dxa"/>
            <w:left w:w="108" w:type="dxa"/>
            <w:bottom w:w="0" w:type="dxa"/>
            <w:right w:w="108" w:type="dxa"/>
          </w:tblCellMar>
        </w:tblPrEx>
        <w:trPr>
          <w:trHeight w:val="288" w:hRule="atLeast"/>
        </w:trPr>
        <w:tc>
          <w:tcPr>
            <w:tcW w:w="3264" w:type="pct"/>
            <w:tcBorders>
              <w:top w:val="single" w:color="000000" w:sz="4" w:space="0"/>
              <w:left w:val="single" w:color="000000" w:sz="4" w:space="0"/>
              <w:bottom w:val="single" w:color="000000" w:sz="4" w:space="0"/>
              <w:right w:val="single" w:color="000000" w:sz="4" w:space="0"/>
            </w:tcBorders>
            <w:shd w:val="clear" w:color="auto" w:fill="FCD5B4"/>
            <w:noWrap/>
            <w:vAlign w:val="bottom"/>
          </w:tcPr>
          <w:p>
            <w:pPr>
              <w:spacing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Fixed cost</w:t>
            </w:r>
          </w:p>
        </w:tc>
        <w:tc>
          <w:tcPr>
            <w:tcW w:w="1735" w:type="pct"/>
            <w:tcBorders>
              <w:top w:val="single" w:color="000000" w:sz="4" w:space="0"/>
              <w:left w:val="single" w:color="000000" w:sz="4" w:space="0"/>
              <w:bottom w:val="single" w:color="000000" w:sz="4" w:space="0"/>
              <w:right w:val="single" w:color="000000" w:sz="4" w:space="0"/>
            </w:tcBorders>
            <w:shd w:val="clear" w:color="auto" w:fill="FCD5B4"/>
            <w:noWrap/>
            <w:vAlign w:val="bottom"/>
          </w:tcPr>
          <w:p>
            <w:pPr>
              <w:spacing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$269,750 </w:t>
            </w:r>
          </w:p>
        </w:tc>
      </w:tr>
      <w:tr>
        <w:tblPrEx>
          <w:tblCellMar>
            <w:top w:w="0" w:type="dxa"/>
            <w:left w:w="108" w:type="dxa"/>
            <w:bottom w:w="0" w:type="dxa"/>
            <w:right w:w="108" w:type="dxa"/>
          </w:tblCellMar>
        </w:tblPrEx>
        <w:trPr>
          <w:trHeight w:val="288" w:hRule="atLeast"/>
        </w:trPr>
        <w:tc>
          <w:tcPr>
            <w:tcW w:w="3264" w:type="pct"/>
            <w:tcBorders>
              <w:top w:val="single" w:color="000000" w:sz="4" w:space="0"/>
              <w:left w:val="single" w:color="000000" w:sz="4" w:space="0"/>
              <w:bottom w:val="single" w:color="000000" w:sz="4" w:space="0"/>
              <w:right w:val="single" w:color="000000" w:sz="4" w:space="0"/>
            </w:tcBorders>
            <w:shd w:val="clear" w:color="auto" w:fill="FCD5B4"/>
            <w:noWrap/>
            <w:vAlign w:val="bottom"/>
          </w:tcPr>
          <w:p>
            <w:pPr>
              <w:spacing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BEP (In Units)</w:t>
            </w:r>
          </w:p>
        </w:tc>
        <w:tc>
          <w:tcPr>
            <w:tcW w:w="1735" w:type="pct"/>
            <w:tcBorders>
              <w:top w:val="single" w:color="000000" w:sz="4" w:space="0"/>
              <w:left w:val="single" w:color="000000" w:sz="4" w:space="0"/>
              <w:bottom w:val="single" w:color="000000" w:sz="4" w:space="0"/>
              <w:right w:val="single" w:color="000000" w:sz="4" w:space="0"/>
            </w:tcBorders>
            <w:shd w:val="clear" w:color="auto" w:fill="FCD5B4"/>
            <w:noWrap/>
            <w:vAlign w:val="bottom"/>
          </w:tcPr>
          <w:p>
            <w:pPr>
              <w:spacing w:line="240" w:lineRule="auto"/>
              <w:jc w:val="right"/>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 xml:space="preserve">727 </w:t>
            </w:r>
          </w:p>
        </w:tc>
      </w:tr>
    </w:tbl>
    <w:p>
      <w:pPr>
        <w:rPr>
          <w:rFonts w:ascii="Times New Roman" w:hAnsi="Times New Roman" w:cs="Times New Roman"/>
          <w:color w:val="000000" w:themeColor="text1"/>
          <w:sz w:val="24"/>
          <w:szCs w:val="24"/>
        </w:rPr>
      </w:pPr>
    </w:p>
    <w:p>
      <w:pPr>
        <w:pStyle w:val="3"/>
        <w:rPr>
          <w:rFonts w:ascii="Times New Roman" w:hAnsi="Times New Roman" w:cs="Times New Roman"/>
          <w:color w:val="000000" w:themeColor="text1"/>
          <w:sz w:val="24"/>
          <w:szCs w:val="24"/>
        </w:rPr>
      </w:pPr>
      <w:bookmarkStart w:id="37" w:name="_Toc65147167"/>
      <w:r>
        <w:rPr>
          <w:rFonts w:ascii="Times New Roman" w:hAnsi="Times New Roman" w:cs="Times New Roman"/>
          <w:color w:val="000000" w:themeColor="text1"/>
          <w:sz w:val="24"/>
          <w:szCs w:val="24"/>
        </w:rPr>
        <w:t>7.6 Ratios</w:t>
      </w:r>
      <w:bookmarkEnd w:id="37"/>
    </w:p>
    <w:tbl>
      <w:tblPr>
        <w:tblStyle w:val="6"/>
        <w:tblW w:w="5000" w:type="pct"/>
        <w:tblInd w:w="0" w:type="dxa"/>
        <w:tblLayout w:type="autofit"/>
        <w:tblCellMar>
          <w:top w:w="0" w:type="dxa"/>
          <w:left w:w="108" w:type="dxa"/>
          <w:bottom w:w="0" w:type="dxa"/>
          <w:right w:w="108" w:type="dxa"/>
        </w:tblCellMar>
      </w:tblPr>
      <w:tblGrid>
        <w:gridCol w:w="4909"/>
        <w:gridCol w:w="1389"/>
        <w:gridCol w:w="1637"/>
        <w:gridCol w:w="1641"/>
      </w:tblGrid>
      <w:tr>
        <w:tblPrEx>
          <w:tblCellMar>
            <w:top w:w="0" w:type="dxa"/>
            <w:left w:w="108" w:type="dxa"/>
            <w:bottom w:w="0" w:type="dxa"/>
            <w:right w:w="108" w:type="dxa"/>
          </w:tblCellMar>
        </w:tblPrEx>
        <w:trPr>
          <w:trHeight w:val="288" w:hRule="atLeast"/>
        </w:trPr>
        <w:tc>
          <w:tcPr>
            <w:tcW w:w="5000" w:type="pct"/>
            <w:gridSpan w:val="4"/>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center"/>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Calculation of Ratios</w:t>
            </w:r>
          </w:p>
        </w:tc>
      </w:tr>
      <w:tr>
        <w:tblPrEx>
          <w:tblCellMar>
            <w:top w:w="0" w:type="dxa"/>
            <w:left w:w="108" w:type="dxa"/>
            <w:bottom w:w="0" w:type="dxa"/>
            <w:right w:w="108" w:type="dxa"/>
          </w:tblCellMar>
        </w:tblPrEx>
        <w:trPr>
          <w:trHeight w:val="288" w:hRule="atLeast"/>
        </w:trPr>
        <w:tc>
          <w:tcPr>
            <w:tcW w:w="256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Data</w:t>
            </w:r>
          </w:p>
        </w:tc>
        <w:tc>
          <w:tcPr>
            <w:tcW w:w="7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Year 1</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Year 2</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Year 3</w:t>
            </w:r>
          </w:p>
        </w:tc>
      </w:tr>
      <w:tr>
        <w:tblPrEx>
          <w:tblCellMar>
            <w:top w:w="0" w:type="dxa"/>
            <w:left w:w="108" w:type="dxa"/>
            <w:bottom w:w="0" w:type="dxa"/>
            <w:right w:w="108" w:type="dxa"/>
          </w:tblCellMar>
        </w:tblPrEx>
        <w:trPr>
          <w:trHeight w:val="288" w:hRule="atLeast"/>
        </w:trPr>
        <w:tc>
          <w:tcPr>
            <w:tcW w:w="256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Sales</w:t>
            </w:r>
          </w:p>
        </w:tc>
        <w:tc>
          <w:tcPr>
            <w:tcW w:w="7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505400</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555940</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611070</w:t>
            </w:r>
          </w:p>
        </w:tc>
      </w:tr>
      <w:tr>
        <w:tblPrEx>
          <w:tblCellMar>
            <w:top w:w="0" w:type="dxa"/>
            <w:left w:w="108" w:type="dxa"/>
            <w:bottom w:w="0" w:type="dxa"/>
            <w:right w:w="108" w:type="dxa"/>
          </w:tblCellMar>
        </w:tblPrEx>
        <w:trPr>
          <w:trHeight w:val="288" w:hRule="atLeast"/>
        </w:trPr>
        <w:tc>
          <w:tcPr>
            <w:tcW w:w="256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Net Profit</w:t>
            </w:r>
          </w:p>
        </w:tc>
        <w:tc>
          <w:tcPr>
            <w:tcW w:w="7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75305</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111710.5</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149299</w:t>
            </w:r>
          </w:p>
        </w:tc>
      </w:tr>
      <w:tr>
        <w:tblPrEx>
          <w:tblCellMar>
            <w:top w:w="0" w:type="dxa"/>
            <w:left w:w="108" w:type="dxa"/>
            <w:bottom w:w="0" w:type="dxa"/>
            <w:right w:w="108" w:type="dxa"/>
          </w:tblCellMar>
        </w:tblPrEx>
        <w:trPr>
          <w:trHeight w:val="288" w:hRule="atLeast"/>
        </w:trPr>
        <w:tc>
          <w:tcPr>
            <w:tcW w:w="256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Gross Profit</w:t>
            </w:r>
          </w:p>
        </w:tc>
        <w:tc>
          <w:tcPr>
            <w:tcW w:w="7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345055</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379560</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417149</w:t>
            </w:r>
          </w:p>
        </w:tc>
      </w:tr>
      <w:tr>
        <w:tblPrEx>
          <w:tblCellMar>
            <w:top w:w="0" w:type="dxa"/>
            <w:left w:w="108" w:type="dxa"/>
            <w:bottom w:w="0" w:type="dxa"/>
            <w:right w:w="108" w:type="dxa"/>
          </w:tblCellMar>
        </w:tblPrEx>
        <w:trPr>
          <w:trHeight w:val="288" w:hRule="atLeast"/>
        </w:trPr>
        <w:tc>
          <w:tcPr>
            <w:tcW w:w="256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Equity</w:t>
            </w:r>
          </w:p>
        </w:tc>
        <w:tc>
          <w:tcPr>
            <w:tcW w:w="7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50000</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50000</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50000</w:t>
            </w:r>
          </w:p>
        </w:tc>
      </w:tr>
      <w:tr>
        <w:tblPrEx>
          <w:tblCellMar>
            <w:top w:w="0" w:type="dxa"/>
            <w:left w:w="108" w:type="dxa"/>
            <w:bottom w:w="0" w:type="dxa"/>
            <w:right w:w="108" w:type="dxa"/>
          </w:tblCellMar>
        </w:tblPrEx>
        <w:trPr>
          <w:trHeight w:val="288" w:hRule="atLeast"/>
        </w:trPr>
        <w:tc>
          <w:tcPr>
            <w:tcW w:w="256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Current Asset </w:t>
            </w:r>
          </w:p>
        </w:tc>
        <w:tc>
          <w:tcPr>
            <w:tcW w:w="7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84290</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170342.24</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281088.45</w:t>
            </w:r>
          </w:p>
        </w:tc>
      </w:tr>
      <w:tr>
        <w:tblPrEx>
          <w:tblCellMar>
            <w:top w:w="0" w:type="dxa"/>
            <w:left w:w="108" w:type="dxa"/>
            <w:bottom w:w="0" w:type="dxa"/>
            <w:right w:w="108" w:type="dxa"/>
          </w:tblCellMar>
        </w:tblPrEx>
        <w:trPr>
          <w:trHeight w:val="288" w:hRule="atLeast"/>
        </w:trPr>
        <w:tc>
          <w:tcPr>
            <w:tcW w:w="256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Debt</w:t>
            </w:r>
          </w:p>
        </w:tc>
        <w:tc>
          <w:tcPr>
            <w:tcW w:w="7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50000</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50000</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50000</w:t>
            </w:r>
          </w:p>
        </w:tc>
      </w:tr>
      <w:tr>
        <w:tblPrEx>
          <w:tblCellMar>
            <w:top w:w="0" w:type="dxa"/>
            <w:left w:w="108" w:type="dxa"/>
            <w:bottom w:w="0" w:type="dxa"/>
            <w:right w:w="108" w:type="dxa"/>
          </w:tblCellMar>
        </w:tblPrEx>
        <w:trPr>
          <w:trHeight w:val="288" w:hRule="atLeast"/>
        </w:trPr>
        <w:tc>
          <w:tcPr>
            <w:tcW w:w="256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Trade Receivables</w:t>
            </w:r>
          </w:p>
        </w:tc>
        <w:tc>
          <w:tcPr>
            <w:tcW w:w="7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12635</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13898.5</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15276.75</w:t>
            </w:r>
          </w:p>
        </w:tc>
      </w:tr>
      <w:tr>
        <w:tblPrEx>
          <w:tblCellMar>
            <w:top w:w="0" w:type="dxa"/>
            <w:left w:w="108" w:type="dxa"/>
            <w:bottom w:w="0" w:type="dxa"/>
            <w:right w:w="108" w:type="dxa"/>
          </w:tblCellMar>
        </w:tblPrEx>
        <w:trPr>
          <w:trHeight w:val="288" w:hRule="atLeast"/>
        </w:trPr>
        <w:tc>
          <w:tcPr>
            <w:tcW w:w="256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Trade Receivables Turnover</w:t>
            </w:r>
          </w:p>
        </w:tc>
        <w:tc>
          <w:tcPr>
            <w:tcW w:w="7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40</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40</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40</w:t>
            </w:r>
          </w:p>
        </w:tc>
      </w:tr>
      <w:tr>
        <w:tblPrEx>
          <w:tblCellMar>
            <w:top w:w="0" w:type="dxa"/>
            <w:left w:w="108" w:type="dxa"/>
            <w:bottom w:w="0" w:type="dxa"/>
            <w:right w:w="108" w:type="dxa"/>
          </w:tblCellMar>
        </w:tblPrEx>
        <w:trPr>
          <w:trHeight w:val="288" w:hRule="atLeast"/>
        </w:trPr>
        <w:tc>
          <w:tcPr>
            <w:tcW w:w="5000" w:type="pct"/>
            <w:gridSpan w:val="4"/>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center"/>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Ratios</w:t>
            </w:r>
          </w:p>
        </w:tc>
      </w:tr>
      <w:tr>
        <w:tblPrEx>
          <w:tblCellMar>
            <w:top w:w="0" w:type="dxa"/>
            <w:left w:w="108" w:type="dxa"/>
            <w:bottom w:w="0" w:type="dxa"/>
            <w:right w:w="108" w:type="dxa"/>
          </w:tblCellMar>
        </w:tblPrEx>
        <w:trPr>
          <w:trHeight w:val="288" w:hRule="atLeast"/>
        </w:trPr>
        <w:tc>
          <w:tcPr>
            <w:tcW w:w="256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Net profit margin</w:t>
            </w:r>
          </w:p>
        </w:tc>
        <w:tc>
          <w:tcPr>
            <w:tcW w:w="7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14.90%</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20.09%</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24.43%</w:t>
            </w:r>
          </w:p>
        </w:tc>
      </w:tr>
      <w:tr>
        <w:trPr>
          <w:trHeight w:val="288" w:hRule="atLeast"/>
        </w:trPr>
        <w:tc>
          <w:tcPr>
            <w:tcW w:w="256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Gross Profit Margin</w:t>
            </w:r>
          </w:p>
        </w:tc>
        <w:tc>
          <w:tcPr>
            <w:tcW w:w="7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68.27%</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68.27%</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68.27%</w:t>
            </w:r>
          </w:p>
        </w:tc>
      </w:tr>
      <w:tr>
        <w:tblPrEx>
          <w:tblCellMar>
            <w:top w:w="0" w:type="dxa"/>
            <w:left w:w="108" w:type="dxa"/>
            <w:bottom w:w="0" w:type="dxa"/>
            <w:right w:w="108" w:type="dxa"/>
          </w:tblCellMar>
        </w:tblPrEx>
        <w:trPr>
          <w:trHeight w:val="288" w:hRule="atLeast"/>
        </w:trPr>
        <w:tc>
          <w:tcPr>
            <w:tcW w:w="256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Return on Equity</w:t>
            </w:r>
          </w:p>
        </w:tc>
        <w:tc>
          <w:tcPr>
            <w:tcW w:w="7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150.61%</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223.42%</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298.60%</w:t>
            </w:r>
          </w:p>
        </w:tc>
      </w:tr>
      <w:tr>
        <w:tblPrEx>
          <w:tblCellMar>
            <w:top w:w="0" w:type="dxa"/>
            <w:left w:w="108" w:type="dxa"/>
            <w:bottom w:w="0" w:type="dxa"/>
            <w:right w:w="108" w:type="dxa"/>
          </w:tblCellMar>
        </w:tblPrEx>
        <w:trPr>
          <w:trHeight w:val="288" w:hRule="atLeast"/>
        </w:trPr>
        <w:tc>
          <w:tcPr>
            <w:tcW w:w="256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Debt to Equity Ratio</w:t>
            </w:r>
          </w:p>
        </w:tc>
        <w:tc>
          <w:tcPr>
            <w:tcW w:w="7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1.00 </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1.00 </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1.00 </w:t>
            </w:r>
          </w:p>
        </w:tc>
      </w:tr>
      <w:tr>
        <w:tblPrEx>
          <w:tblCellMar>
            <w:top w:w="0" w:type="dxa"/>
            <w:left w:w="108" w:type="dxa"/>
            <w:bottom w:w="0" w:type="dxa"/>
            <w:right w:w="108" w:type="dxa"/>
          </w:tblCellMar>
        </w:tblPrEx>
        <w:trPr>
          <w:trHeight w:val="288" w:hRule="atLeast"/>
        </w:trPr>
        <w:tc>
          <w:tcPr>
            <w:tcW w:w="256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Trade Receivables settlement Period</w:t>
            </w:r>
          </w:p>
        </w:tc>
        <w:tc>
          <w:tcPr>
            <w:tcW w:w="72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9.13 </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9.13 </w:t>
            </w:r>
          </w:p>
        </w:tc>
        <w:tc>
          <w:tcPr>
            <w:tcW w:w="85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9.13 </w:t>
            </w:r>
          </w:p>
        </w:tc>
      </w:tr>
    </w:tbl>
    <w:p>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pPr>
        <w:pStyle w:val="2"/>
        <w:spacing w:before="0" w:line="480" w:lineRule="auto"/>
        <w:rPr>
          <w:rFonts w:ascii="Times New Roman" w:hAnsi="Times New Roman" w:cs="Times New Roman"/>
          <w:color w:val="000000" w:themeColor="text1"/>
          <w:sz w:val="24"/>
          <w:szCs w:val="24"/>
        </w:rPr>
      </w:pPr>
      <w:bookmarkStart w:id="38" w:name="_Toc65147168"/>
      <w:r>
        <w:rPr>
          <w:rFonts w:ascii="Times New Roman" w:hAnsi="Times New Roman" w:cs="Times New Roman"/>
          <w:color w:val="000000" w:themeColor="text1"/>
          <w:sz w:val="24"/>
          <w:szCs w:val="24"/>
        </w:rPr>
        <w:t>Appendices</w:t>
      </w:r>
      <w:bookmarkEnd w:id="38"/>
    </w:p>
    <w:p>
      <w:p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Cash Flows</w:t>
      </w:r>
    </w:p>
    <w:tbl>
      <w:tblPr>
        <w:tblStyle w:val="6"/>
        <w:tblW w:w="5000" w:type="pct"/>
        <w:tblInd w:w="0" w:type="dxa"/>
        <w:tblLayout w:type="autofit"/>
        <w:tblCellMar>
          <w:top w:w="0" w:type="dxa"/>
          <w:left w:w="108" w:type="dxa"/>
          <w:bottom w:w="0" w:type="dxa"/>
          <w:right w:w="108" w:type="dxa"/>
        </w:tblCellMar>
      </w:tblPr>
      <w:tblGrid>
        <w:gridCol w:w="4298"/>
        <w:gridCol w:w="1504"/>
        <w:gridCol w:w="1505"/>
        <w:gridCol w:w="2269"/>
      </w:tblGrid>
      <w:tr>
        <w:tblPrEx>
          <w:tblCellMar>
            <w:top w:w="0" w:type="dxa"/>
            <w:left w:w="108" w:type="dxa"/>
            <w:bottom w:w="0" w:type="dxa"/>
            <w:right w:w="108" w:type="dxa"/>
          </w:tblCellMar>
        </w:tblPrEx>
        <w:trPr>
          <w:trHeight w:val="288" w:hRule="atLeast"/>
        </w:trPr>
        <w:tc>
          <w:tcPr>
            <w:tcW w:w="5000" w:type="pct"/>
            <w:gridSpan w:val="4"/>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center"/>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STATEMENT OF CASH FLOWS</w:t>
            </w:r>
          </w:p>
        </w:tc>
      </w:tr>
      <w:tr>
        <w:tblPrEx>
          <w:tblCellMar>
            <w:top w:w="0" w:type="dxa"/>
            <w:left w:w="108" w:type="dxa"/>
            <w:bottom w:w="0" w:type="dxa"/>
            <w:right w:w="108" w:type="dxa"/>
          </w:tblCellMar>
        </w:tblPrEx>
        <w:trPr>
          <w:trHeight w:val="288" w:hRule="atLeast"/>
        </w:trPr>
        <w:tc>
          <w:tcPr>
            <w:tcW w:w="5000" w:type="pct"/>
            <w:gridSpan w:val="4"/>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center"/>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Carnival Row Tech Consulting Limited</w:t>
            </w:r>
          </w:p>
        </w:tc>
      </w:tr>
      <w:tr>
        <w:tblPrEx>
          <w:tblCellMar>
            <w:top w:w="0" w:type="dxa"/>
            <w:left w:w="108" w:type="dxa"/>
            <w:bottom w:w="0" w:type="dxa"/>
            <w:right w:w="108" w:type="dxa"/>
          </w:tblCellMar>
        </w:tblPrEx>
        <w:trPr>
          <w:trHeight w:val="288" w:hRule="atLeast"/>
        </w:trPr>
        <w:tc>
          <w:tcPr>
            <w:tcW w:w="22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Category</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Year 2</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Year 3</w:t>
            </w:r>
          </w:p>
        </w:tc>
        <w:tc>
          <w:tcPr>
            <w:tcW w:w="11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Total Item Estimate</w:t>
            </w:r>
          </w:p>
        </w:tc>
      </w:tr>
      <w:tr>
        <w:trPr>
          <w:trHeight w:val="288" w:hRule="atLeast"/>
        </w:trPr>
        <w:tc>
          <w:tcPr>
            <w:tcW w:w="22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11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r>
      <w:tr>
        <w:tblPrEx>
          <w:tblCellMar>
            <w:top w:w="0" w:type="dxa"/>
            <w:left w:w="108" w:type="dxa"/>
            <w:bottom w:w="0" w:type="dxa"/>
            <w:right w:w="108" w:type="dxa"/>
          </w:tblCellMar>
        </w:tblPrEx>
        <w:trPr>
          <w:trHeight w:val="288" w:hRule="atLeast"/>
        </w:trPr>
        <w:tc>
          <w:tcPr>
            <w:tcW w:w="22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Cash on Hand (Equity)</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$71,655.95 </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$156,443.74 </w:t>
            </w:r>
          </w:p>
        </w:tc>
        <w:tc>
          <w:tcPr>
            <w:tcW w:w="11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$228,099.69 </w:t>
            </w:r>
          </w:p>
        </w:tc>
      </w:tr>
      <w:tr>
        <w:tblPrEx>
          <w:tblCellMar>
            <w:top w:w="0" w:type="dxa"/>
            <w:left w:w="108" w:type="dxa"/>
            <w:bottom w:w="0" w:type="dxa"/>
            <w:right w:w="108" w:type="dxa"/>
          </w:tblCellMar>
        </w:tblPrEx>
        <w:trPr>
          <w:trHeight w:val="288" w:hRule="atLeast"/>
        </w:trPr>
        <w:tc>
          <w:tcPr>
            <w:tcW w:w="22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11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r>
      <w:tr>
        <w:tblPrEx>
          <w:tblCellMar>
            <w:top w:w="0" w:type="dxa"/>
            <w:left w:w="108" w:type="dxa"/>
            <w:bottom w:w="0" w:type="dxa"/>
            <w:right w:w="108" w:type="dxa"/>
          </w:tblCellMar>
        </w:tblPrEx>
        <w:trPr>
          <w:trHeight w:val="288" w:hRule="atLeast"/>
        </w:trPr>
        <w:tc>
          <w:tcPr>
            <w:tcW w:w="22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Cash Receipts</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11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r>
      <w:tr>
        <w:tblPrEx>
          <w:tblCellMar>
            <w:top w:w="0" w:type="dxa"/>
            <w:left w:w="108" w:type="dxa"/>
            <w:bottom w:w="0" w:type="dxa"/>
            <w:right w:w="108" w:type="dxa"/>
          </w:tblCellMar>
        </w:tblPrEx>
        <w:trPr>
          <w:trHeight w:val="288" w:hRule="atLeast"/>
        </w:trPr>
        <w:tc>
          <w:tcPr>
            <w:tcW w:w="22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Cash Sales</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$389,158.00 </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$427,749.00 </w:t>
            </w:r>
          </w:p>
        </w:tc>
        <w:tc>
          <w:tcPr>
            <w:tcW w:w="11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$816,907.00 </w:t>
            </w:r>
          </w:p>
        </w:tc>
      </w:tr>
      <w:tr>
        <w:tblPrEx>
          <w:tblCellMar>
            <w:top w:w="0" w:type="dxa"/>
            <w:left w:w="108" w:type="dxa"/>
            <w:bottom w:w="0" w:type="dxa"/>
            <w:right w:w="108" w:type="dxa"/>
          </w:tblCellMar>
        </w:tblPrEx>
        <w:trPr>
          <w:trHeight w:val="288" w:hRule="atLeast"/>
        </w:trPr>
        <w:tc>
          <w:tcPr>
            <w:tcW w:w="22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Collections from credit accounts</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$165,518.50 </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$181,942.75 </w:t>
            </w:r>
          </w:p>
        </w:tc>
        <w:tc>
          <w:tcPr>
            <w:tcW w:w="11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$347,461.25 </w:t>
            </w:r>
          </w:p>
        </w:tc>
      </w:tr>
      <w:tr>
        <w:tblPrEx>
          <w:tblCellMar>
            <w:top w:w="0" w:type="dxa"/>
            <w:left w:w="108" w:type="dxa"/>
            <w:bottom w:w="0" w:type="dxa"/>
            <w:right w:w="108" w:type="dxa"/>
          </w:tblCellMar>
        </w:tblPrEx>
        <w:trPr>
          <w:trHeight w:val="288" w:hRule="atLeast"/>
        </w:trPr>
        <w:tc>
          <w:tcPr>
            <w:tcW w:w="22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Cash from Loans or other outside sources</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11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r>
      <w:tr>
        <w:tblPrEx>
          <w:tblCellMar>
            <w:top w:w="0" w:type="dxa"/>
            <w:left w:w="108" w:type="dxa"/>
            <w:bottom w:w="0" w:type="dxa"/>
            <w:right w:w="108" w:type="dxa"/>
          </w:tblCellMar>
        </w:tblPrEx>
        <w:trPr>
          <w:trHeight w:val="288" w:hRule="atLeast"/>
        </w:trPr>
        <w:tc>
          <w:tcPr>
            <w:tcW w:w="22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TOTAL CASH RECEIPTS</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$554,676.50 </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$609,691.75 </w:t>
            </w:r>
          </w:p>
        </w:tc>
        <w:tc>
          <w:tcPr>
            <w:tcW w:w="11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$1,164,368.25 </w:t>
            </w:r>
          </w:p>
        </w:tc>
      </w:tr>
      <w:tr>
        <w:trPr>
          <w:trHeight w:val="288" w:hRule="atLeast"/>
        </w:trPr>
        <w:tc>
          <w:tcPr>
            <w:tcW w:w="22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Total cash available</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$626,332.45 </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$766,135.49 </w:t>
            </w:r>
          </w:p>
        </w:tc>
        <w:tc>
          <w:tcPr>
            <w:tcW w:w="11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$1,392,467.94 </w:t>
            </w:r>
          </w:p>
        </w:tc>
      </w:tr>
      <w:tr>
        <w:tblPrEx>
          <w:tblCellMar>
            <w:top w:w="0" w:type="dxa"/>
            <w:left w:w="108" w:type="dxa"/>
            <w:bottom w:w="0" w:type="dxa"/>
            <w:right w:w="108" w:type="dxa"/>
          </w:tblCellMar>
        </w:tblPrEx>
        <w:trPr>
          <w:trHeight w:val="288" w:hRule="atLeast"/>
        </w:trPr>
        <w:tc>
          <w:tcPr>
            <w:tcW w:w="22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11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r>
      <w:tr>
        <w:tblPrEx>
          <w:tblCellMar>
            <w:top w:w="0" w:type="dxa"/>
            <w:left w:w="108" w:type="dxa"/>
            <w:bottom w:w="0" w:type="dxa"/>
            <w:right w:w="108" w:type="dxa"/>
          </w:tblCellMar>
        </w:tblPrEx>
        <w:trPr>
          <w:trHeight w:val="288" w:hRule="atLeast"/>
        </w:trPr>
        <w:tc>
          <w:tcPr>
            <w:tcW w:w="22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Cash Paid Out</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11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r>
      <w:tr>
        <w:tblPrEx>
          <w:tblCellMar>
            <w:top w:w="0" w:type="dxa"/>
            <w:left w:w="108" w:type="dxa"/>
            <w:bottom w:w="0" w:type="dxa"/>
            <w:right w:w="108" w:type="dxa"/>
          </w:tblCellMar>
        </w:tblPrEx>
        <w:trPr>
          <w:trHeight w:val="288" w:hRule="atLeast"/>
        </w:trPr>
        <w:tc>
          <w:tcPr>
            <w:tcW w:w="22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Salary (Office &amp; Overhead)</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$200,000 </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$200,000 </w:t>
            </w:r>
          </w:p>
        </w:tc>
        <w:tc>
          <w:tcPr>
            <w:tcW w:w="11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$400,000 </w:t>
            </w:r>
          </w:p>
        </w:tc>
      </w:tr>
      <w:tr>
        <w:tblPrEx>
          <w:tblCellMar>
            <w:top w:w="0" w:type="dxa"/>
            <w:left w:w="108" w:type="dxa"/>
            <w:bottom w:w="0" w:type="dxa"/>
            <w:right w:w="108" w:type="dxa"/>
          </w:tblCellMar>
        </w:tblPrEx>
        <w:trPr>
          <w:trHeight w:val="288" w:hRule="atLeast"/>
        </w:trPr>
        <w:tc>
          <w:tcPr>
            <w:tcW w:w="22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Cost of service</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$176,380 </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$193,921 </w:t>
            </w:r>
          </w:p>
        </w:tc>
        <w:tc>
          <w:tcPr>
            <w:tcW w:w="11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$370,301 </w:t>
            </w:r>
          </w:p>
        </w:tc>
      </w:tr>
      <w:tr>
        <w:tblPrEx>
          <w:tblCellMar>
            <w:top w:w="0" w:type="dxa"/>
            <w:left w:w="108" w:type="dxa"/>
            <w:bottom w:w="0" w:type="dxa"/>
            <w:right w:w="108" w:type="dxa"/>
          </w:tblCellMar>
        </w:tblPrEx>
        <w:trPr>
          <w:trHeight w:val="288" w:hRule="atLeast"/>
        </w:trPr>
        <w:tc>
          <w:tcPr>
            <w:tcW w:w="22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Lease</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$3,000 </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$3,000 </w:t>
            </w:r>
          </w:p>
        </w:tc>
        <w:tc>
          <w:tcPr>
            <w:tcW w:w="11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$6,000 </w:t>
            </w:r>
          </w:p>
        </w:tc>
      </w:tr>
      <w:tr>
        <w:tblPrEx>
          <w:tblCellMar>
            <w:top w:w="0" w:type="dxa"/>
            <w:left w:w="108" w:type="dxa"/>
            <w:bottom w:w="0" w:type="dxa"/>
            <w:right w:w="108" w:type="dxa"/>
          </w:tblCellMar>
        </w:tblPrEx>
        <w:trPr>
          <w:trHeight w:val="288" w:hRule="atLeast"/>
        </w:trPr>
        <w:tc>
          <w:tcPr>
            <w:tcW w:w="22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Outside Services</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$15,000 </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$15,000 </w:t>
            </w:r>
          </w:p>
        </w:tc>
        <w:tc>
          <w:tcPr>
            <w:tcW w:w="11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$30,000 </w:t>
            </w:r>
          </w:p>
        </w:tc>
      </w:tr>
      <w:tr>
        <w:tblPrEx>
          <w:tblCellMar>
            <w:top w:w="0" w:type="dxa"/>
            <w:left w:w="108" w:type="dxa"/>
            <w:bottom w:w="0" w:type="dxa"/>
            <w:right w:w="108" w:type="dxa"/>
          </w:tblCellMar>
        </w:tblPrEx>
        <w:trPr>
          <w:trHeight w:val="288" w:hRule="atLeast"/>
        </w:trPr>
        <w:tc>
          <w:tcPr>
            <w:tcW w:w="22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Registration</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11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r>
      <w:tr>
        <w:tblPrEx>
          <w:tblCellMar>
            <w:top w:w="0" w:type="dxa"/>
            <w:left w:w="108" w:type="dxa"/>
            <w:bottom w:w="0" w:type="dxa"/>
            <w:right w:w="108" w:type="dxa"/>
          </w:tblCellMar>
        </w:tblPrEx>
        <w:trPr>
          <w:trHeight w:val="288" w:hRule="atLeast"/>
        </w:trPr>
        <w:tc>
          <w:tcPr>
            <w:tcW w:w="22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Repairs &amp; Maintenance</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$15,000 </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$15,000 </w:t>
            </w:r>
          </w:p>
        </w:tc>
        <w:tc>
          <w:tcPr>
            <w:tcW w:w="11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$30,000 </w:t>
            </w:r>
          </w:p>
        </w:tc>
      </w:tr>
      <w:tr>
        <w:tblPrEx>
          <w:tblCellMar>
            <w:top w:w="0" w:type="dxa"/>
            <w:left w:w="108" w:type="dxa"/>
            <w:bottom w:w="0" w:type="dxa"/>
            <w:right w:w="108" w:type="dxa"/>
          </w:tblCellMar>
        </w:tblPrEx>
        <w:trPr>
          <w:trHeight w:val="288" w:hRule="atLeast"/>
        </w:trPr>
        <w:tc>
          <w:tcPr>
            <w:tcW w:w="22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Advertising</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$6,000 </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$6,000 </w:t>
            </w:r>
          </w:p>
        </w:tc>
        <w:tc>
          <w:tcPr>
            <w:tcW w:w="11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$12,000 </w:t>
            </w:r>
          </w:p>
        </w:tc>
      </w:tr>
      <w:tr>
        <w:tblPrEx>
          <w:tblCellMar>
            <w:top w:w="0" w:type="dxa"/>
            <w:left w:w="108" w:type="dxa"/>
            <w:bottom w:w="0" w:type="dxa"/>
            <w:right w:w="108" w:type="dxa"/>
          </w:tblCellMar>
        </w:tblPrEx>
        <w:trPr>
          <w:trHeight w:val="288" w:hRule="atLeast"/>
        </w:trPr>
        <w:tc>
          <w:tcPr>
            <w:tcW w:w="22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Car, Delivery, Travel</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$2,500 </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$2,500 </w:t>
            </w:r>
          </w:p>
        </w:tc>
        <w:tc>
          <w:tcPr>
            <w:tcW w:w="11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$5,000 </w:t>
            </w:r>
          </w:p>
        </w:tc>
      </w:tr>
      <w:tr>
        <w:tblPrEx>
          <w:tblCellMar>
            <w:top w:w="0" w:type="dxa"/>
            <w:left w:w="108" w:type="dxa"/>
            <w:bottom w:w="0" w:type="dxa"/>
            <w:right w:w="108" w:type="dxa"/>
          </w:tblCellMar>
        </w:tblPrEx>
        <w:trPr>
          <w:trHeight w:val="288" w:hRule="atLeast"/>
        </w:trPr>
        <w:tc>
          <w:tcPr>
            <w:tcW w:w="22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Accounting Expenses</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$2,000 </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$2,000 </w:t>
            </w:r>
          </w:p>
        </w:tc>
        <w:tc>
          <w:tcPr>
            <w:tcW w:w="11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$4,000 </w:t>
            </w:r>
          </w:p>
        </w:tc>
      </w:tr>
      <w:tr>
        <w:tblPrEx>
          <w:tblCellMar>
            <w:top w:w="0" w:type="dxa"/>
            <w:left w:w="108" w:type="dxa"/>
            <w:bottom w:w="0" w:type="dxa"/>
            <w:right w:w="108" w:type="dxa"/>
          </w:tblCellMar>
        </w:tblPrEx>
        <w:trPr>
          <w:trHeight w:val="288" w:hRule="atLeast"/>
        </w:trPr>
        <w:tc>
          <w:tcPr>
            <w:tcW w:w="22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Legal Expenses</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$800 </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$800 </w:t>
            </w:r>
          </w:p>
        </w:tc>
        <w:tc>
          <w:tcPr>
            <w:tcW w:w="11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$1,600 </w:t>
            </w:r>
          </w:p>
        </w:tc>
      </w:tr>
      <w:tr>
        <w:trPr>
          <w:trHeight w:val="288" w:hRule="atLeast"/>
        </w:trPr>
        <w:tc>
          <w:tcPr>
            <w:tcW w:w="22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Telephone</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$1,450 </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$1,450 </w:t>
            </w:r>
          </w:p>
        </w:tc>
        <w:tc>
          <w:tcPr>
            <w:tcW w:w="11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$2,900 </w:t>
            </w:r>
          </w:p>
        </w:tc>
      </w:tr>
      <w:tr>
        <w:tblPrEx>
          <w:tblCellMar>
            <w:top w:w="0" w:type="dxa"/>
            <w:left w:w="108" w:type="dxa"/>
            <w:bottom w:w="0" w:type="dxa"/>
            <w:right w:w="108" w:type="dxa"/>
          </w:tblCellMar>
        </w:tblPrEx>
        <w:trPr>
          <w:trHeight w:val="288" w:hRule="atLeast"/>
        </w:trPr>
        <w:tc>
          <w:tcPr>
            <w:tcW w:w="22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Utilities</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$500 </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$500 </w:t>
            </w:r>
          </w:p>
        </w:tc>
        <w:tc>
          <w:tcPr>
            <w:tcW w:w="11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$1,000 </w:t>
            </w:r>
          </w:p>
        </w:tc>
      </w:tr>
      <w:tr>
        <w:tblPrEx>
          <w:tblCellMar>
            <w:top w:w="0" w:type="dxa"/>
            <w:left w:w="108" w:type="dxa"/>
            <w:bottom w:w="0" w:type="dxa"/>
            <w:right w:w="108" w:type="dxa"/>
          </w:tblCellMar>
        </w:tblPrEx>
        <w:trPr>
          <w:trHeight w:val="288" w:hRule="atLeast"/>
        </w:trPr>
        <w:tc>
          <w:tcPr>
            <w:tcW w:w="22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Insurance</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$300 </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$300 </w:t>
            </w:r>
          </w:p>
        </w:tc>
        <w:tc>
          <w:tcPr>
            <w:tcW w:w="11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$600 </w:t>
            </w:r>
          </w:p>
        </w:tc>
      </w:tr>
      <w:tr>
        <w:tblPrEx>
          <w:tblCellMar>
            <w:top w:w="0" w:type="dxa"/>
            <w:left w:w="108" w:type="dxa"/>
            <w:bottom w:w="0" w:type="dxa"/>
            <w:right w:w="108" w:type="dxa"/>
          </w:tblCellMar>
        </w:tblPrEx>
        <w:trPr>
          <w:trHeight w:val="288" w:hRule="atLeast"/>
        </w:trPr>
        <w:tc>
          <w:tcPr>
            <w:tcW w:w="22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Stationery</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$4,000 </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$4,000 </w:t>
            </w:r>
          </w:p>
        </w:tc>
        <w:tc>
          <w:tcPr>
            <w:tcW w:w="11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$8,000 </w:t>
            </w:r>
          </w:p>
        </w:tc>
      </w:tr>
      <w:tr>
        <w:tblPrEx>
          <w:tblCellMar>
            <w:top w:w="0" w:type="dxa"/>
            <w:left w:w="108" w:type="dxa"/>
            <w:bottom w:w="0" w:type="dxa"/>
            <w:right w:w="108" w:type="dxa"/>
          </w:tblCellMar>
        </w:tblPrEx>
        <w:trPr>
          <w:trHeight w:val="288" w:hRule="atLeast"/>
        </w:trPr>
        <w:tc>
          <w:tcPr>
            <w:tcW w:w="22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Miscellaneous</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$1,650 </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$1,650 </w:t>
            </w:r>
          </w:p>
        </w:tc>
        <w:tc>
          <w:tcPr>
            <w:tcW w:w="11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$3,300 </w:t>
            </w:r>
          </w:p>
        </w:tc>
      </w:tr>
      <w:tr>
        <w:tblPrEx>
          <w:tblCellMar>
            <w:top w:w="0" w:type="dxa"/>
            <w:left w:w="108" w:type="dxa"/>
            <w:bottom w:w="0" w:type="dxa"/>
            <w:right w:w="108" w:type="dxa"/>
          </w:tblCellMar>
        </w:tblPrEx>
        <w:trPr>
          <w:trHeight w:val="288" w:hRule="atLeast"/>
        </w:trPr>
        <w:tc>
          <w:tcPr>
            <w:tcW w:w="22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Software and development charges</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$1,500 </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$1,500 </w:t>
            </w:r>
          </w:p>
        </w:tc>
        <w:tc>
          <w:tcPr>
            <w:tcW w:w="11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$3,000 </w:t>
            </w:r>
          </w:p>
        </w:tc>
      </w:tr>
      <w:tr>
        <w:trPr>
          <w:trHeight w:val="288" w:hRule="atLeast"/>
        </w:trPr>
        <w:tc>
          <w:tcPr>
            <w:tcW w:w="22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Internet and other expenses</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$850 </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$850 </w:t>
            </w:r>
          </w:p>
        </w:tc>
        <w:tc>
          <w:tcPr>
            <w:tcW w:w="11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$1,700 </w:t>
            </w:r>
          </w:p>
        </w:tc>
      </w:tr>
      <w:tr>
        <w:tblPrEx>
          <w:tblCellMar>
            <w:top w:w="0" w:type="dxa"/>
            <w:left w:w="108" w:type="dxa"/>
            <w:bottom w:w="0" w:type="dxa"/>
            <w:right w:w="108" w:type="dxa"/>
          </w:tblCellMar>
        </w:tblPrEx>
        <w:trPr>
          <w:trHeight w:val="288" w:hRule="atLeast"/>
        </w:trPr>
        <w:tc>
          <w:tcPr>
            <w:tcW w:w="22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Trademark</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11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r>
      <w:tr>
        <w:tblPrEx>
          <w:tblCellMar>
            <w:top w:w="0" w:type="dxa"/>
            <w:left w:w="108" w:type="dxa"/>
            <w:bottom w:w="0" w:type="dxa"/>
            <w:right w:w="108" w:type="dxa"/>
          </w:tblCellMar>
        </w:tblPrEx>
        <w:trPr>
          <w:trHeight w:val="288" w:hRule="atLeast"/>
        </w:trPr>
        <w:tc>
          <w:tcPr>
            <w:tcW w:w="22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Interest</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$1,500 </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$1,500 </w:t>
            </w:r>
          </w:p>
        </w:tc>
        <w:tc>
          <w:tcPr>
            <w:tcW w:w="11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$3,000 </w:t>
            </w:r>
          </w:p>
        </w:tc>
      </w:tr>
      <w:tr>
        <w:tblPrEx>
          <w:tblCellMar>
            <w:top w:w="0" w:type="dxa"/>
            <w:left w:w="108" w:type="dxa"/>
            <w:bottom w:w="0" w:type="dxa"/>
            <w:right w:w="108" w:type="dxa"/>
          </w:tblCellMar>
        </w:tblPrEx>
        <w:trPr>
          <w:trHeight w:val="288" w:hRule="atLeast"/>
        </w:trPr>
        <w:tc>
          <w:tcPr>
            <w:tcW w:w="22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Taxes</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$23,459 </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$31,353 </w:t>
            </w:r>
          </w:p>
        </w:tc>
        <w:tc>
          <w:tcPr>
            <w:tcW w:w="11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$54,812 </w:t>
            </w:r>
          </w:p>
        </w:tc>
      </w:tr>
      <w:tr>
        <w:tblPrEx>
          <w:tblCellMar>
            <w:top w:w="0" w:type="dxa"/>
            <w:left w:w="108" w:type="dxa"/>
            <w:bottom w:w="0" w:type="dxa"/>
            <w:right w:w="108" w:type="dxa"/>
          </w:tblCellMar>
        </w:tblPrEx>
        <w:trPr>
          <w:trHeight w:val="288" w:hRule="atLeast"/>
        </w:trPr>
        <w:tc>
          <w:tcPr>
            <w:tcW w:w="22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Miscellaneous</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$4,000 </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$4,000 </w:t>
            </w:r>
          </w:p>
        </w:tc>
        <w:tc>
          <w:tcPr>
            <w:tcW w:w="11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$8,000 </w:t>
            </w:r>
          </w:p>
        </w:tc>
      </w:tr>
      <w:tr>
        <w:tblPrEx>
          <w:tblCellMar>
            <w:top w:w="0" w:type="dxa"/>
            <w:left w:w="108" w:type="dxa"/>
            <w:bottom w:w="0" w:type="dxa"/>
            <w:right w:w="108" w:type="dxa"/>
          </w:tblCellMar>
        </w:tblPrEx>
        <w:trPr>
          <w:trHeight w:val="288" w:hRule="atLeast"/>
        </w:trPr>
        <w:tc>
          <w:tcPr>
            <w:tcW w:w="22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11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r>
      <w:tr>
        <w:tblPrEx>
          <w:tblCellMar>
            <w:top w:w="0" w:type="dxa"/>
            <w:left w:w="108" w:type="dxa"/>
            <w:bottom w:w="0" w:type="dxa"/>
            <w:right w:w="108" w:type="dxa"/>
          </w:tblCellMar>
        </w:tblPrEx>
        <w:trPr>
          <w:trHeight w:val="288" w:hRule="atLeast"/>
        </w:trPr>
        <w:tc>
          <w:tcPr>
            <w:tcW w:w="22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SUBTOTAL</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$459,888.71 </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$485,323.79 </w:t>
            </w:r>
          </w:p>
        </w:tc>
        <w:tc>
          <w:tcPr>
            <w:tcW w:w="11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$945,212.50 </w:t>
            </w:r>
          </w:p>
        </w:tc>
      </w:tr>
      <w:tr>
        <w:tblPrEx>
          <w:tblCellMar>
            <w:top w:w="0" w:type="dxa"/>
            <w:left w:w="108" w:type="dxa"/>
            <w:bottom w:w="0" w:type="dxa"/>
            <w:right w:w="108" w:type="dxa"/>
          </w:tblCellMar>
        </w:tblPrEx>
        <w:trPr>
          <w:trHeight w:val="288" w:hRule="atLeast"/>
        </w:trPr>
        <w:tc>
          <w:tcPr>
            <w:tcW w:w="22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11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r>
      <w:tr>
        <w:tblPrEx>
          <w:tblCellMar>
            <w:top w:w="0" w:type="dxa"/>
            <w:left w:w="108" w:type="dxa"/>
            <w:bottom w:w="0" w:type="dxa"/>
            <w:right w:w="108" w:type="dxa"/>
          </w:tblCellMar>
        </w:tblPrEx>
        <w:trPr>
          <w:trHeight w:val="288" w:hRule="atLeast"/>
        </w:trPr>
        <w:tc>
          <w:tcPr>
            <w:tcW w:w="22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Loan Principal Payment</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11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r>
      <w:tr>
        <w:tblPrEx>
          <w:tblCellMar>
            <w:top w:w="0" w:type="dxa"/>
            <w:left w:w="108" w:type="dxa"/>
            <w:bottom w:w="0" w:type="dxa"/>
            <w:right w:w="108" w:type="dxa"/>
          </w:tblCellMar>
        </w:tblPrEx>
        <w:trPr>
          <w:trHeight w:val="288" w:hRule="atLeast"/>
        </w:trPr>
        <w:tc>
          <w:tcPr>
            <w:tcW w:w="22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Capital Purchase</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11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r>
      <w:tr>
        <w:tblPrEx>
          <w:tblCellMar>
            <w:top w:w="0" w:type="dxa"/>
            <w:left w:w="108" w:type="dxa"/>
            <w:bottom w:w="0" w:type="dxa"/>
            <w:right w:w="108" w:type="dxa"/>
          </w:tblCellMar>
        </w:tblPrEx>
        <w:trPr>
          <w:trHeight w:val="288" w:hRule="atLeast"/>
        </w:trPr>
        <w:tc>
          <w:tcPr>
            <w:tcW w:w="22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Other Start Up Costs</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11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r>
      <w:tr>
        <w:tblPrEx>
          <w:tblCellMar>
            <w:top w:w="0" w:type="dxa"/>
            <w:left w:w="108" w:type="dxa"/>
            <w:bottom w:w="0" w:type="dxa"/>
            <w:right w:w="108" w:type="dxa"/>
          </w:tblCellMar>
        </w:tblPrEx>
        <w:trPr>
          <w:trHeight w:val="288" w:hRule="atLeast"/>
        </w:trPr>
        <w:tc>
          <w:tcPr>
            <w:tcW w:w="22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Reserve and/or escrow</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c>
          <w:tcPr>
            <w:tcW w:w="11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   </w:t>
            </w:r>
          </w:p>
        </w:tc>
      </w:tr>
      <w:tr>
        <w:tblPrEx>
          <w:tblCellMar>
            <w:top w:w="0" w:type="dxa"/>
            <w:left w:w="108" w:type="dxa"/>
            <w:bottom w:w="0" w:type="dxa"/>
            <w:right w:w="108" w:type="dxa"/>
          </w:tblCellMar>
        </w:tblPrEx>
        <w:trPr>
          <w:trHeight w:val="288" w:hRule="atLeast"/>
        </w:trPr>
        <w:tc>
          <w:tcPr>
            <w:tcW w:w="22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Other Withdrawals</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$10,000.00 </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$15,000.00 </w:t>
            </w:r>
          </w:p>
        </w:tc>
        <w:tc>
          <w:tcPr>
            <w:tcW w:w="11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$25,000.00 </w:t>
            </w:r>
          </w:p>
        </w:tc>
      </w:tr>
      <w:tr>
        <w:tblPrEx>
          <w:tblCellMar>
            <w:top w:w="0" w:type="dxa"/>
            <w:left w:w="108" w:type="dxa"/>
            <w:bottom w:w="0" w:type="dxa"/>
            <w:right w:w="108" w:type="dxa"/>
          </w:tblCellMar>
        </w:tblPrEx>
        <w:trPr>
          <w:trHeight w:val="288" w:hRule="atLeast"/>
        </w:trPr>
        <w:tc>
          <w:tcPr>
            <w:tcW w:w="22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Total Cash Paid Out</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$469,888.71 </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$500,323.79 </w:t>
            </w:r>
          </w:p>
        </w:tc>
        <w:tc>
          <w:tcPr>
            <w:tcW w:w="11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color w:val="000000" w:themeColor="text1"/>
                <w:sz w:val="24"/>
                <w:szCs w:val="24"/>
              </w:rPr>
            </w:pPr>
            <w:r>
              <w:rPr>
                <w:rFonts w:ascii="Times New Roman" w:hAnsi="Times New Roman" w:eastAsia="SimSun" w:cs="Times New Roman"/>
                <w:color w:val="000000" w:themeColor="text1"/>
                <w:sz w:val="24"/>
                <w:szCs w:val="24"/>
                <w:lang w:eastAsia="zh-CN"/>
              </w:rPr>
              <w:t xml:space="preserve"> $970,212.50 </w:t>
            </w:r>
          </w:p>
        </w:tc>
      </w:tr>
      <w:tr>
        <w:tblPrEx>
          <w:tblCellMar>
            <w:top w:w="0" w:type="dxa"/>
            <w:left w:w="108" w:type="dxa"/>
            <w:bottom w:w="0" w:type="dxa"/>
            <w:right w:w="108" w:type="dxa"/>
          </w:tblCellMar>
        </w:tblPrEx>
        <w:trPr>
          <w:trHeight w:val="288" w:hRule="atLeast"/>
        </w:trPr>
        <w:tc>
          <w:tcPr>
            <w:tcW w:w="22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c>
          <w:tcPr>
            <w:tcW w:w="11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Times New Roman" w:hAnsi="Times New Roman" w:cs="Times New Roman"/>
                <w:color w:val="000000" w:themeColor="text1"/>
                <w:sz w:val="24"/>
                <w:szCs w:val="24"/>
              </w:rPr>
            </w:pPr>
          </w:p>
        </w:tc>
      </w:tr>
      <w:tr>
        <w:tblPrEx>
          <w:tblCellMar>
            <w:top w:w="0" w:type="dxa"/>
            <w:left w:w="108" w:type="dxa"/>
            <w:bottom w:w="0" w:type="dxa"/>
            <w:right w:w="108" w:type="dxa"/>
          </w:tblCellMar>
        </w:tblPrEx>
        <w:trPr>
          <w:trHeight w:val="288" w:hRule="atLeast"/>
        </w:trPr>
        <w:tc>
          <w:tcPr>
            <w:tcW w:w="22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Cash Position</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 xml:space="preserve"> $156,443.74 </w:t>
            </w:r>
          </w:p>
        </w:tc>
        <w:tc>
          <w:tcPr>
            <w:tcW w:w="795"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 xml:space="preserve"> $265,811.70 </w:t>
            </w:r>
          </w:p>
        </w:tc>
        <w:tc>
          <w:tcPr>
            <w:tcW w:w="1154" w:type="pct"/>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right"/>
              <w:textAlignment w:val="bottom"/>
              <w:rPr>
                <w:rFonts w:ascii="Times New Roman" w:hAnsi="Times New Roman" w:cs="Times New Roman"/>
                <w:b/>
                <w:bCs/>
                <w:color w:val="000000" w:themeColor="text1"/>
                <w:sz w:val="24"/>
                <w:szCs w:val="24"/>
              </w:rPr>
            </w:pPr>
            <w:r>
              <w:rPr>
                <w:rFonts w:ascii="Times New Roman" w:hAnsi="Times New Roman" w:eastAsia="SimSun" w:cs="Times New Roman"/>
                <w:b/>
                <w:bCs/>
                <w:color w:val="000000" w:themeColor="text1"/>
                <w:sz w:val="24"/>
                <w:szCs w:val="24"/>
                <w:lang w:eastAsia="zh-CN"/>
              </w:rPr>
              <w:t xml:space="preserve"> $422,255.44 </w:t>
            </w:r>
          </w:p>
        </w:tc>
      </w:tr>
    </w:tbl>
    <w:p>
      <w:pPr>
        <w:spacing w:after="0" w:line="480" w:lineRule="auto"/>
        <w:jc w:val="both"/>
        <w:rPr>
          <w:rFonts w:ascii="Times New Roman" w:hAnsi="Times New Roman" w:cs="Times New Roman"/>
          <w:color w:val="000000" w:themeColor="text1"/>
          <w:sz w:val="24"/>
          <w:szCs w:val="24"/>
        </w:rPr>
      </w:pPr>
    </w:p>
    <w:sectPr>
      <w:footerReference r:id="rId5"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27070178"/>
    </w:sdtPr>
    <w:sdtContent>
      <w:p>
        <w:pPr>
          <w:pStyle w:val="8"/>
          <w:jc w:val="right"/>
        </w:pPr>
        <w:r>
          <w:fldChar w:fldCharType="begin"/>
        </w:r>
        <w:r>
          <w:instrText xml:space="preserve"> PAGE   \* MERGEFORMAT </w:instrText>
        </w:r>
        <w:r>
          <w:fldChar w:fldCharType="separate"/>
        </w:r>
        <w:r>
          <w:t>32</w:t>
        </w:r>
        <w:r>
          <w:fldChar w:fldCharType="end"/>
        </w:r>
      </w:p>
    </w:sdtContent>
  </w:sdt>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F872376"/>
    <w:multiLevelType w:val="multilevel"/>
    <w:tmpl w:val="1F87237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2BC72BEC"/>
    <w:multiLevelType w:val="multilevel"/>
    <w:tmpl w:val="2BC72BE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379872F5"/>
    <w:multiLevelType w:val="multilevel"/>
    <w:tmpl w:val="379872F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529320C0"/>
    <w:multiLevelType w:val="multilevel"/>
    <w:tmpl w:val="529320C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550F6BDB"/>
    <w:multiLevelType w:val="multilevel"/>
    <w:tmpl w:val="550F6BD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6"/>
  <w:documentProtection w:enforcement="0"/>
  <w:defaultTabStop w:val="720"/>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2"/>
  </w:compat>
  <w:docVars>
    <w:docVar w:name="__Grammarly_42____i" w:val="H4sIAAAAAAAEAKtWckksSQxILCpxzi/NK1GyMqwFAAEhoTITAAAA"/>
    <w:docVar w:name="__Grammarly_42___1" w:val="H4sIAAAAAAAEAKtWcslP9kxRslIyNDYytTAzNjY2sTQwMjcztzBU0lEKTi0uzszPAykwrgUAhjbPlywAAAA="/>
  </w:docVars>
  <w:rsids>
    <w:rsidRoot w:val="00685636"/>
    <w:rsid w:val="00037275"/>
    <w:rsid w:val="0004687C"/>
    <w:rsid w:val="00085539"/>
    <w:rsid w:val="00090EE9"/>
    <w:rsid w:val="000F0E8B"/>
    <w:rsid w:val="00153EC8"/>
    <w:rsid w:val="001D0D58"/>
    <w:rsid w:val="001D163F"/>
    <w:rsid w:val="001F3997"/>
    <w:rsid w:val="002242A5"/>
    <w:rsid w:val="00335051"/>
    <w:rsid w:val="00366B7B"/>
    <w:rsid w:val="003B144B"/>
    <w:rsid w:val="00465299"/>
    <w:rsid w:val="00472F3E"/>
    <w:rsid w:val="00530767"/>
    <w:rsid w:val="005D5383"/>
    <w:rsid w:val="005E7721"/>
    <w:rsid w:val="006547B5"/>
    <w:rsid w:val="00685636"/>
    <w:rsid w:val="00694A00"/>
    <w:rsid w:val="006F21F1"/>
    <w:rsid w:val="006F5F54"/>
    <w:rsid w:val="00752456"/>
    <w:rsid w:val="00756CE2"/>
    <w:rsid w:val="007A565E"/>
    <w:rsid w:val="007B78CC"/>
    <w:rsid w:val="008137B5"/>
    <w:rsid w:val="00863FEA"/>
    <w:rsid w:val="00965962"/>
    <w:rsid w:val="00997D5A"/>
    <w:rsid w:val="009C1366"/>
    <w:rsid w:val="009F557C"/>
    <w:rsid w:val="00A04DF2"/>
    <w:rsid w:val="00A23C41"/>
    <w:rsid w:val="00A51B76"/>
    <w:rsid w:val="00A52D2C"/>
    <w:rsid w:val="00A55A46"/>
    <w:rsid w:val="00AE0DEE"/>
    <w:rsid w:val="00AE69F1"/>
    <w:rsid w:val="00B16583"/>
    <w:rsid w:val="00B64C68"/>
    <w:rsid w:val="00B72E15"/>
    <w:rsid w:val="00B81AD7"/>
    <w:rsid w:val="00C75F7D"/>
    <w:rsid w:val="00C80536"/>
    <w:rsid w:val="00CC3AC9"/>
    <w:rsid w:val="00D021FA"/>
    <w:rsid w:val="00D515FA"/>
    <w:rsid w:val="00D81CEB"/>
    <w:rsid w:val="00E16506"/>
    <w:rsid w:val="00E43199"/>
    <w:rsid w:val="00EA24FD"/>
    <w:rsid w:val="00F876A9"/>
    <w:rsid w:val="04AE47BD"/>
    <w:rsid w:val="0A2924BA"/>
    <w:rsid w:val="106373B7"/>
    <w:rsid w:val="196612A7"/>
    <w:rsid w:val="1B2B59F3"/>
    <w:rsid w:val="1BE764E8"/>
    <w:rsid w:val="235E3823"/>
    <w:rsid w:val="2A1E1931"/>
    <w:rsid w:val="309168C2"/>
    <w:rsid w:val="317704CB"/>
    <w:rsid w:val="32821317"/>
    <w:rsid w:val="35D10591"/>
    <w:rsid w:val="439F177C"/>
    <w:rsid w:val="528215CF"/>
    <w:rsid w:val="5B5776D1"/>
    <w:rsid w:val="60E362E6"/>
    <w:rsid w:val="69433CFF"/>
    <w:rsid w:val="6A211672"/>
    <w:rsid w:val="6B196411"/>
    <w:rsid w:val="7D6402A9"/>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0" w:semiHidden="0" w:name="header"/>
    <w:lsdException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0"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5"/>
    <w:qFormat/>
    <w:uiPriority w:val="9"/>
    <w:pPr>
      <w:keepNext/>
      <w:keepLines/>
      <w:spacing w:before="480" w:after="0"/>
      <w:outlineLvl w:val="0"/>
    </w:pPr>
    <w:rPr>
      <w:rFonts w:asciiTheme="majorHAnsi" w:hAnsiTheme="majorHAnsi" w:eastAsiaTheme="majorEastAsia" w:cstheme="majorBidi"/>
      <w:b/>
      <w:bCs/>
      <w:color w:val="366091" w:themeColor="accent1" w:themeShade="BF"/>
      <w:sz w:val="28"/>
      <w:szCs w:val="28"/>
    </w:rPr>
  </w:style>
  <w:style w:type="paragraph" w:styleId="3">
    <w:name w:val="heading 2"/>
    <w:basedOn w:val="1"/>
    <w:next w:val="1"/>
    <w:link w:val="16"/>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rPr>
  </w:style>
  <w:style w:type="paragraph" w:styleId="4">
    <w:name w:val="heading 3"/>
    <w:basedOn w:val="1"/>
    <w:next w:val="1"/>
    <w:link w:val="17"/>
    <w:unhideWhenUsed/>
    <w:qFormat/>
    <w:uiPriority w:val="9"/>
    <w:pPr>
      <w:keepNext/>
      <w:keepLines/>
      <w:spacing w:before="200" w:after="0"/>
      <w:outlineLvl w:val="2"/>
    </w:pPr>
    <w:rPr>
      <w:rFonts w:asciiTheme="majorHAnsi" w:hAnsiTheme="majorHAnsi" w:eastAsiaTheme="majorEastAsia" w:cstheme="majorBidi"/>
      <w:b/>
      <w:bCs/>
      <w:color w:val="4F81BD" w:themeColor="accent1"/>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18"/>
    <w:unhideWhenUsed/>
    <w:uiPriority w:val="0"/>
    <w:pPr>
      <w:spacing w:after="0" w:line="240" w:lineRule="auto"/>
    </w:pPr>
    <w:rPr>
      <w:rFonts w:ascii="Tahoma" w:hAnsi="Tahoma" w:cs="Tahoma"/>
      <w:sz w:val="16"/>
      <w:szCs w:val="16"/>
    </w:rPr>
  </w:style>
  <w:style w:type="paragraph" w:styleId="8">
    <w:name w:val="footer"/>
    <w:basedOn w:val="1"/>
    <w:link w:val="19"/>
    <w:uiPriority w:val="99"/>
    <w:pPr>
      <w:tabs>
        <w:tab w:val="center" w:pos="4153"/>
        <w:tab w:val="right" w:pos="8306"/>
      </w:tabs>
      <w:snapToGrid w:val="0"/>
      <w:spacing w:after="0" w:line="240" w:lineRule="auto"/>
    </w:pPr>
    <w:rPr>
      <w:rFonts w:eastAsiaTheme="minorEastAsia"/>
      <w:sz w:val="18"/>
      <w:szCs w:val="18"/>
      <w:lang w:eastAsia="zh-CN"/>
    </w:rPr>
  </w:style>
  <w:style w:type="paragraph" w:styleId="9">
    <w:name w:val="header"/>
    <w:basedOn w:val="1"/>
    <w:link w:val="20"/>
    <w:uiPriority w:val="0"/>
    <w:pPr>
      <w:tabs>
        <w:tab w:val="center" w:pos="4153"/>
        <w:tab w:val="right" w:pos="8306"/>
      </w:tabs>
      <w:snapToGrid w:val="0"/>
      <w:spacing w:after="0" w:line="240" w:lineRule="auto"/>
    </w:pPr>
    <w:rPr>
      <w:rFonts w:eastAsiaTheme="minorEastAsia"/>
      <w:sz w:val="18"/>
      <w:szCs w:val="18"/>
      <w:lang w:eastAsia="zh-CN"/>
    </w:rPr>
  </w:style>
  <w:style w:type="character" w:styleId="10">
    <w:name w:val="Hyperlink"/>
    <w:basedOn w:val="5"/>
    <w:unhideWhenUsed/>
    <w:qFormat/>
    <w:uiPriority w:val="99"/>
    <w:rPr>
      <w:color w:val="0000FF" w:themeColor="hyperlink"/>
      <w:u w:val="single"/>
    </w:rPr>
  </w:style>
  <w:style w:type="table" w:styleId="11">
    <w:name w:val="Table Grid"/>
    <w:basedOn w:val="6"/>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12">
    <w:name w:val="toc 1"/>
    <w:basedOn w:val="1"/>
    <w:next w:val="1"/>
    <w:unhideWhenUsed/>
    <w:uiPriority w:val="39"/>
    <w:pPr>
      <w:spacing w:after="100"/>
    </w:pPr>
  </w:style>
  <w:style w:type="paragraph" w:styleId="13">
    <w:name w:val="toc 2"/>
    <w:basedOn w:val="1"/>
    <w:next w:val="1"/>
    <w:unhideWhenUsed/>
    <w:uiPriority w:val="39"/>
    <w:pPr>
      <w:spacing w:after="100"/>
      <w:ind w:left="220"/>
    </w:pPr>
  </w:style>
  <w:style w:type="paragraph" w:styleId="14">
    <w:name w:val="toc 3"/>
    <w:basedOn w:val="1"/>
    <w:next w:val="1"/>
    <w:unhideWhenUsed/>
    <w:uiPriority w:val="39"/>
    <w:pPr>
      <w:spacing w:after="100"/>
      <w:ind w:left="440"/>
    </w:pPr>
  </w:style>
  <w:style w:type="character" w:customStyle="1" w:styleId="15">
    <w:name w:val="Heading 1 Char"/>
    <w:basedOn w:val="5"/>
    <w:link w:val="2"/>
    <w:uiPriority w:val="9"/>
    <w:rPr>
      <w:rFonts w:asciiTheme="majorHAnsi" w:hAnsiTheme="majorHAnsi" w:eastAsiaTheme="majorEastAsia" w:cstheme="majorBidi"/>
      <w:b/>
      <w:bCs/>
      <w:color w:val="366091" w:themeColor="accent1" w:themeShade="BF"/>
      <w:sz w:val="28"/>
      <w:szCs w:val="28"/>
    </w:rPr>
  </w:style>
  <w:style w:type="character" w:customStyle="1" w:styleId="16">
    <w:name w:val="Heading 2 Char"/>
    <w:basedOn w:val="5"/>
    <w:link w:val="3"/>
    <w:uiPriority w:val="9"/>
    <w:rPr>
      <w:rFonts w:asciiTheme="majorHAnsi" w:hAnsiTheme="majorHAnsi" w:eastAsiaTheme="majorEastAsia" w:cstheme="majorBidi"/>
      <w:b/>
      <w:bCs/>
      <w:color w:val="4F81BD" w:themeColor="accent1"/>
      <w:sz w:val="26"/>
      <w:szCs w:val="26"/>
    </w:rPr>
  </w:style>
  <w:style w:type="character" w:customStyle="1" w:styleId="17">
    <w:name w:val="Heading 3 Char"/>
    <w:basedOn w:val="5"/>
    <w:link w:val="4"/>
    <w:uiPriority w:val="9"/>
    <w:rPr>
      <w:rFonts w:asciiTheme="majorHAnsi" w:hAnsiTheme="majorHAnsi" w:eastAsiaTheme="majorEastAsia" w:cstheme="majorBidi"/>
      <w:b/>
      <w:bCs/>
      <w:color w:val="4F81BD" w:themeColor="accent1"/>
    </w:rPr>
  </w:style>
  <w:style w:type="character" w:customStyle="1" w:styleId="18">
    <w:name w:val="Balloon Text Char"/>
    <w:basedOn w:val="5"/>
    <w:link w:val="7"/>
    <w:uiPriority w:val="0"/>
    <w:rPr>
      <w:rFonts w:ascii="Tahoma" w:hAnsi="Tahoma" w:cs="Tahoma"/>
      <w:sz w:val="16"/>
      <w:szCs w:val="16"/>
    </w:rPr>
  </w:style>
  <w:style w:type="character" w:customStyle="1" w:styleId="19">
    <w:name w:val="Footer Char"/>
    <w:basedOn w:val="5"/>
    <w:link w:val="8"/>
    <w:uiPriority w:val="99"/>
    <w:rPr>
      <w:rFonts w:eastAsiaTheme="minorEastAsia"/>
      <w:sz w:val="18"/>
      <w:szCs w:val="18"/>
      <w:lang w:eastAsia="zh-CN"/>
    </w:rPr>
  </w:style>
  <w:style w:type="character" w:customStyle="1" w:styleId="20">
    <w:name w:val="Header Char"/>
    <w:basedOn w:val="5"/>
    <w:link w:val="9"/>
    <w:uiPriority w:val="0"/>
    <w:rPr>
      <w:rFonts w:eastAsiaTheme="minorEastAsia"/>
      <w:sz w:val="18"/>
      <w:szCs w:val="18"/>
      <w:lang w:eastAsia="zh-CN"/>
    </w:rPr>
  </w:style>
  <w:style w:type="paragraph" w:styleId="21">
    <w:name w:val="List Paragraph"/>
    <w:basedOn w:val="1"/>
    <w:qFormat/>
    <w:uiPriority w:val="34"/>
    <w:pPr>
      <w:spacing w:after="160" w:line="259" w:lineRule="auto"/>
      <w:ind w:left="720"/>
      <w:contextualSpacing/>
    </w:pPr>
    <w:rPr>
      <w:lang w:val="en-GB"/>
    </w:rPr>
  </w:style>
  <w:style w:type="paragraph" w:customStyle="1" w:styleId="22">
    <w:name w:val="TOC Heading1"/>
    <w:basedOn w:val="2"/>
    <w:next w:val="1"/>
    <w:unhideWhenUsed/>
    <w:qFormat/>
    <w:uiPriority w:val="39"/>
    <w:pPr>
      <w:spacing w:before="240" w:line="259" w:lineRule="auto"/>
      <w:outlineLvl w:val="9"/>
    </w:pPr>
    <w:rPr>
      <w:b w:val="0"/>
      <w:bCs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chart" Target="charts/chart2.xml"/><Relationship Id="rId7" Type="http://schemas.openxmlformats.org/officeDocument/2006/relationships/chart" Target="charts/chart1.xml"/><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chart" Target="charts/chart5.xml"/><Relationship Id="rId11" Type="http://schemas.openxmlformats.org/officeDocument/2006/relationships/chart" Target="charts/chart4.xml"/><Relationship Id="rId10" Type="http://schemas.openxmlformats.org/officeDocument/2006/relationships/chart" Target="charts/chart3.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Vineet%20Sharma\Desktop\240221\BalanceSheet.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Vineet%20Sharma\Desktop\240221\BalanceSheet.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Vineet%20Sharma\Desktop\240221\BalanceSheet.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Vineet%20Sharma\Desktop\240221\BalanceSheet.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Vineet%20Sharma\Desktop\240221\BalanceShee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800" b="1" i="0" u="none" strike="noStrike" kern="1200" cap="all" spc="150" baseline="0">
                <a:solidFill>
                  <a:schemeClr val="tx1">
                    <a:lumMod val="50000"/>
                    <a:lumOff val="50000"/>
                  </a:schemeClr>
                </a:solidFill>
                <a:latin typeface="+mn-lt"/>
                <a:ea typeface="+mn-ea"/>
                <a:cs typeface="+mn-cs"/>
              </a:defRPr>
            </a:pPr>
            <a:r>
              <a:rPr lang="en-IN"/>
              <a:t>Start-up Cost</a:t>
            </a:r>
            <a:endParaRPr lang="en-IN"/>
          </a:p>
        </c:rich>
      </c:tx>
      <c:layout>
        <c:manualLayout>
          <c:xMode val="edge"/>
          <c:yMode val="edge"/>
          <c:x val="0.259891435464415"/>
          <c:y val="0.00593941793704218"/>
        </c:manualLayout>
      </c:layout>
      <c:overlay val="0"/>
      <c:spPr>
        <a:noFill/>
        <a:ln>
          <a:noFill/>
        </a:ln>
        <a:effectLst/>
      </c:spPr>
    </c:title>
    <c:autoTitleDeleted val="0"/>
    <c:plotArea>
      <c:layout/>
      <c:barChart>
        <c:barDir val="col"/>
        <c:grouping val="clustered"/>
        <c:varyColors val="0"/>
        <c:ser>
          <c:idx val="0"/>
          <c:order val="0"/>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'[BalanceSheet.xlsx]Start-up'!$B$27:$B$28</c:f>
              <c:strCache>
                <c:ptCount val="2"/>
                <c:pt idx="0">
                  <c:v>Total Expenses</c:v>
                </c:pt>
                <c:pt idx="1">
                  <c:v>Total Assets</c:v>
                </c:pt>
              </c:strCache>
            </c:strRef>
          </c:cat>
          <c:val>
            <c:numRef>
              <c:f>'[BalanceSheet.xlsx]Start-up'!$C$27:$C$28</c:f>
              <c:numCache>
                <c:formatCode>General</c:formatCode>
                <c:ptCount val="2"/>
                <c:pt idx="0">
                  <c:v>22000</c:v>
                </c:pt>
                <c:pt idx="1">
                  <c:v>78000</c:v>
                </c:pt>
              </c:numCache>
            </c:numRef>
          </c:val>
        </c:ser>
        <c:dLbls>
          <c:showLegendKey val="0"/>
          <c:showVal val="1"/>
          <c:showCatName val="0"/>
          <c:showSerName val="0"/>
          <c:showPercent val="0"/>
          <c:showBubbleSize val="0"/>
        </c:dLbls>
        <c:gapWidth val="164"/>
        <c:overlap val="-22"/>
        <c:axId val="80746752"/>
        <c:axId val="80757120"/>
      </c:barChart>
      <c:catAx>
        <c:axId val="80746752"/>
        <c:scaling>
          <c:orientation val="minMax"/>
        </c:scaling>
        <c:delete val="0"/>
        <c:axPos val="b"/>
        <c:numFmt formatCode="General" sourceLinked="0"/>
        <c:majorTickMark val="none"/>
        <c:minorTickMark val="none"/>
        <c:tickLblPos val="nextTo"/>
        <c:spPr>
          <a:noFill/>
          <a:ln w="19050" cap="flat" cmpd="sng" algn="ctr">
            <a:solidFill>
              <a:schemeClr val="tx1">
                <a:lumMod val="25000"/>
                <a:lumOff val="75000"/>
              </a:schemeClr>
            </a:solidFill>
            <a:prstDash val="solid"/>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80757120"/>
        <c:crosses val="autoZero"/>
        <c:auto val="1"/>
        <c:lblAlgn val="ctr"/>
        <c:lblOffset val="100"/>
        <c:noMultiLvlLbl val="0"/>
      </c:catAx>
      <c:valAx>
        <c:axId val="80757120"/>
        <c:scaling>
          <c:orientation val="minMax"/>
        </c:scaling>
        <c:delete val="0"/>
        <c:axPos val="l"/>
        <c:numFmt formatCode="General" sourceLinked="1"/>
        <c:majorTickMark val="none"/>
        <c:minorTickMark val="none"/>
        <c:tickLblPos val="nextTo"/>
        <c:spPr>
          <a:noFill/>
          <a:ln w="9525" cap="flat" cmpd="sng" algn="ctr">
            <a:noFill/>
            <a:prstDash val="solid"/>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807467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en-US"/>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800" b="1" i="0" u="none" strike="noStrike" kern="1200" baseline="0">
                <a:solidFill>
                  <a:schemeClr val="dk1">
                    <a:lumMod val="75000"/>
                    <a:lumOff val="25000"/>
                  </a:schemeClr>
                </a:solidFill>
                <a:latin typeface="+mn-lt"/>
                <a:ea typeface="+mn-ea"/>
                <a:cs typeface="+mn-cs"/>
              </a:defRPr>
            </a:pPr>
            <a:r>
              <a:rPr lang="en-IN"/>
              <a:t>Sources of Funds</a:t>
            </a:r>
            <a:endParaRPr lang="en-IN"/>
          </a:p>
        </c:rich>
      </c:tx>
      <c:layout/>
      <c:overlay val="0"/>
      <c:spPr>
        <a:noFill/>
        <a:ln>
          <a:noFill/>
        </a:ln>
        <a:effectLst/>
      </c:spPr>
    </c:title>
    <c:autoTitleDeleted val="0"/>
    <c:plotArea>
      <c:layout/>
      <c:barChart>
        <c:barDir val="bar"/>
        <c:grouping val="clustered"/>
        <c:varyColors val="0"/>
        <c:ser>
          <c:idx val="0"/>
          <c:order val="0"/>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0" vertOverflow="ellipsis" vert="horz" wrap="square" lIns="38100" tIns="19050" rIns="38100" bIns="19050" anchor="ctr" anchorCtr="1"/>
              <a:lstStyle/>
              <a:p>
                <a:pPr>
                  <a:defRPr lang="en-US" sz="900" b="1" i="0" u="none" strike="noStrike" kern="1200" baseline="0">
                    <a:solidFill>
                      <a:schemeClr val="lt1"/>
                    </a:solidFill>
                    <a:latin typeface="+mn-lt"/>
                    <a:ea typeface="+mn-ea"/>
                    <a:cs typeface="+mn-cs"/>
                  </a:defRPr>
                </a:pPr>
              </a:p>
            </c:txPr>
            <c:dLblPos val="in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dk1">
                          <a:lumMod val="50000"/>
                          <a:lumOff val="50000"/>
                        </a:schemeClr>
                      </a:solidFill>
                      <a:prstDash val="solid"/>
                      <a:round/>
                    </a:ln>
                    <a:effectLst/>
                  </c:spPr>
                </c15:leaderLines>
              </c:ext>
            </c:extLst>
          </c:dLbls>
          <c:cat>
            <c:strRef>
              <c:f>'[BalanceSheet.xlsx]Start-up'!$E$6:$E$7</c:f>
              <c:strCache>
                <c:ptCount val="2"/>
                <c:pt idx="0">
                  <c:v>Equity</c:v>
                </c:pt>
                <c:pt idx="1">
                  <c:v>Debt</c:v>
                </c:pt>
              </c:strCache>
            </c:strRef>
          </c:cat>
          <c:val>
            <c:numRef>
              <c:f>'[BalanceSheet.xlsx]Start-up'!$F$6:$F$7</c:f>
              <c:numCache>
                <c:formatCode>General</c:formatCode>
                <c:ptCount val="2"/>
                <c:pt idx="0">
                  <c:v>50000</c:v>
                </c:pt>
                <c:pt idx="1">
                  <c:v>50000</c:v>
                </c:pt>
              </c:numCache>
            </c:numRef>
          </c:val>
        </c:ser>
        <c:dLbls>
          <c:showLegendKey val="0"/>
          <c:showVal val="1"/>
          <c:showCatName val="0"/>
          <c:showSerName val="0"/>
          <c:showPercent val="0"/>
          <c:showBubbleSize val="0"/>
        </c:dLbls>
        <c:gapWidth val="65"/>
        <c:axId val="80766080"/>
        <c:axId val="80767616"/>
      </c:barChart>
      <c:catAx>
        <c:axId val="80766080"/>
        <c:scaling>
          <c:orientation val="minMax"/>
        </c:scaling>
        <c:delete val="0"/>
        <c:axPos val="l"/>
        <c:numFmt formatCode="General" sourceLinked="0"/>
        <c:majorTickMark val="none"/>
        <c:minorTickMark val="none"/>
        <c:tickLblPos val="nextTo"/>
        <c:spPr>
          <a:noFill/>
          <a:ln w="19050" cap="flat" cmpd="sng" algn="ctr">
            <a:solidFill>
              <a:schemeClr val="dk1">
                <a:lumMod val="75000"/>
                <a:lumOff val="25000"/>
              </a:schemeClr>
            </a:solidFill>
            <a:prstDash val="solid"/>
            <a:round/>
          </a:ln>
          <a:effectLst/>
        </c:spPr>
        <c:txPr>
          <a:bodyPr rot="-60000000" spcFirstLastPara="0" vertOverflow="ellipsis" vert="horz" wrap="square" anchor="ctr" anchorCtr="1"/>
          <a:lstStyle/>
          <a:p>
            <a:pPr>
              <a:defRPr lang="en-US" sz="900" b="0" i="0" u="none" strike="noStrike" kern="1200" cap="all" baseline="0">
                <a:solidFill>
                  <a:schemeClr val="dk1">
                    <a:lumMod val="75000"/>
                    <a:lumOff val="25000"/>
                  </a:schemeClr>
                </a:solidFill>
                <a:latin typeface="+mn-lt"/>
                <a:ea typeface="+mn-ea"/>
                <a:cs typeface="+mn-cs"/>
              </a:defRPr>
            </a:pPr>
          </a:p>
        </c:txPr>
        <c:crossAx val="80767616"/>
        <c:crosses val="autoZero"/>
        <c:auto val="1"/>
        <c:lblAlgn val="ctr"/>
        <c:lblOffset val="100"/>
        <c:noMultiLvlLbl val="0"/>
      </c:catAx>
      <c:valAx>
        <c:axId val="80767616"/>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prstDash val="solid"/>
              <a:round/>
            </a:ln>
            <a:effectLst/>
          </c:spPr>
        </c:majorGridlines>
        <c:numFmt formatCode="General" sourceLinked="1"/>
        <c:majorTickMark val="none"/>
        <c:minorTickMark val="none"/>
        <c:tickLblPos val="nextTo"/>
        <c:spPr>
          <a:noFill/>
          <a:ln w="9525" cap="flat" cmpd="sng" algn="ctr">
            <a:noFill/>
            <a:prstDash val="solid"/>
            <a:round/>
          </a:ln>
          <a:effectLst/>
        </c:spPr>
        <c:txPr>
          <a:bodyPr rot="-60000000" spcFirstLastPara="0" vertOverflow="ellipsis" vert="horz" wrap="square" anchor="ctr" anchorCtr="1"/>
          <a:lstStyle/>
          <a:p>
            <a:pPr>
              <a:defRPr lang="en-US" sz="900" b="0" i="0" u="none" strike="noStrike" kern="1200" baseline="0">
                <a:solidFill>
                  <a:schemeClr val="dk1">
                    <a:lumMod val="75000"/>
                    <a:lumOff val="25000"/>
                  </a:schemeClr>
                </a:solidFill>
                <a:latin typeface="+mn-lt"/>
                <a:ea typeface="+mn-ea"/>
                <a:cs typeface="+mn-cs"/>
              </a:defRPr>
            </a:pPr>
          </a:p>
        </c:txPr>
        <c:crossAx val="80766080"/>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gradFill>
    <a:ln w="9525" cap="flat" cmpd="sng" algn="ctr">
      <a:solidFill>
        <a:schemeClr val="dk1">
          <a:lumMod val="25000"/>
          <a:lumOff val="75000"/>
        </a:schemeClr>
      </a:solidFill>
      <a:prstDash val="solid"/>
      <a:round/>
    </a:ln>
    <a:effectLst/>
  </c:spPr>
  <c:txPr>
    <a:bodyPr/>
    <a:lstStyle/>
    <a:p>
      <a:pPr>
        <a:defRPr lang="en-US"/>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Sales Forecast</a:t>
            </a:r>
            <a:endParaRPr lang="en-IN"/>
          </a:p>
        </c:rich>
      </c:tx>
      <c:layout/>
      <c:overlay val="0"/>
      <c:spPr>
        <a:noFill/>
        <a:ln>
          <a:noFill/>
        </a:ln>
        <a:effectLst/>
      </c:spPr>
    </c:title>
    <c:autoTitleDeleted val="0"/>
    <c:plotArea>
      <c:layout/>
      <c:barChart>
        <c:barDir val="col"/>
        <c:grouping val="stacked"/>
        <c:varyColors val="0"/>
        <c:ser>
          <c:idx val="0"/>
          <c:order val="0"/>
          <c:tx>
            <c:strRef>
              <c:f>'[BalanceSheet.xlsx]Sales Forecast'!$C$3</c:f>
              <c:strCache>
                <c:ptCount val="1"/>
                <c:pt idx="0">
                  <c:v>Year 1</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lt1">
                        <a:lumMod val="85000"/>
                      </a:schemeClr>
                    </a:solidFill>
                    <a:latin typeface="+mn-lt"/>
                    <a:ea typeface="+mn-ea"/>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lt1">
                          <a:lumMod val="95000"/>
                          <a:alpha val="54000"/>
                        </a:schemeClr>
                      </a:solidFill>
                      <a:prstDash val="solid"/>
                      <a:round/>
                    </a:ln>
                    <a:effectLst/>
                  </c:spPr>
                </c15:leaderLines>
              </c:ext>
            </c:extLst>
          </c:dLbls>
          <c:cat>
            <c:strRef>
              <c:f>'[BalanceSheet.xlsx]Sales Forecast'!$B$4:$B$8</c:f>
              <c:strCache>
                <c:ptCount val="5"/>
                <c:pt idx="0">
                  <c:v>Consulting to retail businesses</c:v>
                </c:pt>
                <c:pt idx="1">
                  <c:v>Project consulting</c:v>
                </c:pt>
                <c:pt idx="2">
                  <c:v>Research</c:v>
                </c:pt>
                <c:pt idx="3">
                  <c:v>Prepartion of Reports</c:v>
                </c:pt>
                <c:pt idx="4">
                  <c:v>Others</c:v>
                </c:pt>
              </c:strCache>
            </c:strRef>
          </c:cat>
          <c:val>
            <c:numRef>
              <c:f>'[BalanceSheet.xlsx]Sales Forecast'!$C$4:$C$8</c:f>
              <c:numCache>
                <c:formatCode>General</c:formatCode>
                <c:ptCount val="5"/>
                <c:pt idx="0">
                  <c:v>150000</c:v>
                </c:pt>
                <c:pt idx="1">
                  <c:v>200000</c:v>
                </c:pt>
                <c:pt idx="2">
                  <c:v>120000</c:v>
                </c:pt>
                <c:pt idx="3">
                  <c:v>25500</c:v>
                </c:pt>
                <c:pt idx="4">
                  <c:v>9900</c:v>
                </c:pt>
              </c:numCache>
            </c:numRef>
          </c:val>
        </c:ser>
        <c:ser>
          <c:idx val="1"/>
          <c:order val="1"/>
          <c:tx>
            <c:strRef>
              <c:f>'[BalanceSheet.xlsx]Sales Forecast'!$D$3</c:f>
              <c:strCache>
                <c:ptCount val="1"/>
                <c:pt idx="0">
                  <c:v>Year 2</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lt1">
                        <a:lumMod val="85000"/>
                      </a:schemeClr>
                    </a:solidFill>
                    <a:latin typeface="+mn-lt"/>
                    <a:ea typeface="+mn-ea"/>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lt1">
                          <a:lumMod val="95000"/>
                          <a:alpha val="54000"/>
                        </a:schemeClr>
                      </a:solidFill>
                      <a:prstDash val="solid"/>
                      <a:round/>
                    </a:ln>
                    <a:effectLst/>
                  </c:spPr>
                </c15:leaderLines>
              </c:ext>
            </c:extLst>
          </c:dLbls>
          <c:cat>
            <c:strRef>
              <c:f>'[BalanceSheet.xlsx]Sales Forecast'!$B$4:$B$8</c:f>
              <c:strCache>
                <c:ptCount val="5"/>
                <c:pt idx="0">
                  <c:v>Consulting to retail businesses</c:v>
                </c:pt>
                <c:pt idx="1">
                  <c:v>Project consulting</c:v>
                </c:pt>
                <c:pt idx="2">
                  <c:v>Research</c:v>
                </c:pt>
                <c:pt idx="3">
                  <c:v>Prepartion of Reports</c:v>
                </c:pt>
                <c:pt idx="4">
                  <c:v>Others</c:v>
                </c:pt>
              </c:strCache>
            </c:strRef>
          </c:cat>
          <c:val>
            <c:numRef>
              <c:f>'[BalanceSheet.xlsx]Sales Forecast'!$D$4:$D$8</c:f>
              <c:numCache>
                <c:formatCode>General</c:formatCode>
                <c:ptCount val="5"/>
                <c:pt idx="0">
                  <c:v>165000</c:v>
                </c:pt>
                <c:pt idx="1">
                  <c:v>220000</c:v>
                </c:pt>
                <c:pt idx="2">
                  <c:v>132000</c:v>
                </c:pt>
                <c:pt idx="3">
                  <c:v>28050</c:v>
                </c:pt>
                <c:pt idx="4">
                  <c:v>10890</c:v>
                </c:pt>
              </c:numCache>
            </c:numRef>
          </c:val>
        </c:ser>
        <c:ser>
          <c:idx val="2"/>
          <c:order val="2"/>
          <c:tx>
            <c:strRef>
              <c:f>'[BalanceSheet.xlsx]Sales Forecast'!$E$3</c:f>
              <c:strCache>
                <c:ptCount val="1"/>
                <c:pt idx="0">
                  <c:v>Year 3</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lt1">
                        <a:lumMod val="85000"/>
                      </a:schemeClr>
                    </a:solidFill>
                    <a:latin typeface="+mn-lt"/>
                    <a:ea typeface="+mn-ea"/>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lt1">
                          <a:lumMod val="95000"/>
                          <a:alpha val="54000"/>
                        </a:schemeClr>
                      </a:solidFill>
                      <a:prstDash val="solid"/>
                      <a:round/>
                    </a:ln>
                    <a:effectLst/>
                  </c:spPr>
                </c15:leaderLines>
              </c:ext>
            </c:extLst>
          </c:dLbls>
          <c:cat>
            <c:strRef>
              <c:f>'[BalanceSheet.xlsx]Sales Forecast'!$B$4:$B$8</c:f>
              <c:strCache>
                <c:ptCount val="5"/>
                <c:pt idx="0">
                  <c:v>Consulting to retail businesses</c:v>
                </c:pt>
                <c:pt idx="1">
                  <c:v>Project consulting</c:v>
                </c:pt>
                <c:pt idx="2">
                  <c:v>Research</c:v>
                </c:pt>
                <c:pt idx="3">
                  <c:v>Prepartion of Reports</c:v>
                </c:pt>
                <c:pt idx="4">
                  <c:v>Others</c:v>
                </c:pt>
              </c:strCache>
            </c:strRef>
          </c:cat>
          <c:val>
            <c:numRef>
              <c:f>'[BalanceSheet.xlsx]Sales Forecast'!$E$4:$E$8</c:f>
              <c:numCache>
                <c:formatCode>General</c:formatCode>
                <c:ptCount val="5"/>
                <c:pt idx="0">
                  <c:v>181500</c:v>
                </c:pt>
                <c:pt idx="1">
                  <c:v>242000</c:v>
                </c:pt>
                <c:pt idx="2">
                  <c:v>145600</c:v>
                </c:pt>
                <c:pt idx="3">
                  <c:v>30000</c:v>
                </c:pt>
                <c:pt idx="4">
                  <c:v>11970</c:v>
                </c:pt>
              </c:numCache>
            </c:numRef>
          </c:val>
        </c:ser>
        <c:dLbls>
          <c:showLegendKey val="0"/>
          <c:showVal val="1"/>
          <c:showCatName val="0"/>
          <c:showSerName val="0"/>
          <c:showPercent val="0"/>
          <c:showBubbleSize val="0"/>
        </c:dLbls>
        <c:gapWidth val="150"/>
        <c:overlap val="100"/>
        <c:axId val="208681984"/>
        <c:axId val="210080512"/>
      </c:barChart>
      <c:catAx>
        <c:axId val="208681984"/>
        <c:scaling>
          <c:orientation val="minMax"/>
        </c:scaling>
        <c:delete val="0"/>
        <c:axPos val="b"/>
        <c:numFmt formatCode="General" sourceLinked="0"/>
        <c:majorTickMark val="none"/>
        <c:minorTickMark val="none"/>
        <c:tickLblPos val="nextTo"/>
        <c:spPr>
          <a:noFill/>
          <a:ln w="12700" cap="flat" cmpd="sng" algn="ctr">
            <a:solidFill>
              <a:schemeClr val="lt1">
                <a:lumMod val="95000"/>
                <a:alpha val="54000"/>
              </a:schemeClr>
            </a:solidFill>
            <a:prstDash val="solid"/>
            <a:round/>
          </a:ln>
          <a:effectLst/>
        </c:spPr>
        <c:txPr>
          <a:bodyPr rot="-60000000" spcFirstLastPara="0" vertOverflow="ellipsis" vert="horz" wrap="square" anchor="ctr" anchorCtr="1"/>
          <a:lstStyle/>
          <a:p>
            <a:pPr>
              <a:defRPr lang="en-US" sz="900" b="0" i="0" u="none" strike="noStrike" kern="1200" baseline="0">
                <a:solidFill>
                  <a:schemeClr val="lt1">
                    <a:lumMod val="85000"/>
                  </a:schemeClr>
                </a:solidFill>
                <a:latin typeface="+mn-lt"/>
                <a:ea typeface="+mn-ea"/>
                <a:cs typeface="+mn-cs"/>
              </a:defRPr>
            </a:pPr>
          </a:p>
        </c:txPr>
        <c:crossAx val="210080512"/>
        <c:crosses val="autoZero"/>
        <c:auto val="1"/>
        <c:lblAlgn val="ctr"/>
        <c:lblOffset val="100"/>
        <c:noMultiLvlLbl val="0"/>
      </c:catAx>
      <c:valAx>
        <c:axId val="210080512"/>
        <c:scaling>
          <c:orientation val="minMax"/>
        </c:scaling>
        <c:delete val="0"/>
        <c:axPos val="l"/>
        <c:majorGridlines>
          <c:spPr>
            <a:ln w="9525" cap="flat" cmpd="sng" algn="ctr">
              <a:solidFill>
                <a:schemeClr val="lt1">
                  <a:lumMod val="95000"/>
                  <a:alpha val="10000"/>
                </a:schemeClr>
              </a:solidFill>
              <a:prstDash val="solid"/>
              <a:round/>
            </a:ln>
            <a:effectLst/>
          </c:spPr>
        </c:majorGridlines>
        <c:numFmt formatCode="General" sourceLinked="1"/>
        <c:majorTickMark val="none"/>
        <c:minorTickMark val="none"/>
        <c:tickLblPos val="nextTo"/>
        <c:spPr>
          <a:noFill/>
          <a:ln w="9525" cap="flat" cmpd="sng" algn="ctr">
            <a:noFill/>
            <a:prstDash val="solid"/>
            <a:round/>
          </a:ln>
          <a:effectLst/>
        </c:spPr>
        <c:txPr>
          <a:bodyPr rot="-60000000" spcFirstLastPara="0" vertOverflow="ellipsis" vert="horz" wrap="square" anchor="ctr" anchorCtr="1"/>
          <a:lstStyle/>
          <a:p>
            <a:pPr>
              <a:defRPr lang="en-US" sz="900" b="0" i="0" u="none" strike="noStrike" kern="1200" baseline="0">
                <a:solidFill>
                  <a:schemeClr val="lt1">
                    <a:lumMod val="85000"/>
                  </a:schemeClr>
                </a:solidFill>
                <a:latin typeface="+mn-lt"/>
                <a:ea typeface="+mn-ea"/>
                <a:cs typeface="+mn-cs"/>
              </a:defRPr>
            </a:pPr>
          </a:p>
        </c:txPr>
        <c:crossAx val="208681984"/>
        <c:crosses val="autoZero"/>
        <c:crossBetween val="between"/>
      </c:valAx>
      <c:dTable>
        <c:showHorzBorder val="1"/>
        <c:showVertBorder val="1"/>
        <c:showOutline val="1"/>
        <c:showKeys val="1"/>
        <c:spPr>
          <a:noFill/>
          <a:ln w="9525" cap="flat" cmpd="sng" algn="ctr">
            <a:solidFill>
              <a:schemeClr val="lt1">
                <a:lumMod val="95000"/>
                <a:alpha val="54000"/>
              </a:schemeClr>
            </a:solidFill>
            <a:prstDash val="solid"/>
            <a:round/>
          </a:ln>
          <a:effectLst/>
        </c:spPr>
        <c:txPr>
          <a:bodyPr rot="0" spcFirstLastPara="0" vertOverflow="ellipsis" vert="horz" wrap="square" anchor="ctr" anchorCtr="1"/>
          <a:lstStyle/>
          <a:p>
            <a:pPr>
              <a:defRPr lang="en-US" sz="900" b="0" i="0" u="none" strike="noStrike" kern="1200" baseline="0">
                <a:solidFill>
                  <a:schemeClr val="lt1">
                    <a:lumMod val="85000"/>
                  </a:schemeClr>
                </a:solidFill>
                <a:latin typeface="+mn-lt"/>
                <a:ea typeface="+mn-ea"/>
                <a:cs typeface="+mn-cs"/>
              </a:defRPr>
            </a:pPr>
          </a:p>
        </c:txPr>
      </c:dTable>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lt1">
                  <a:lumMod val="85000"/>
                </a:schemeClr>
              </a:solidFill>
              <a:latin typeface="+mn-lt"/>
              <a:ea typeface="+mn-ea"/>
              <a:cs typeface="+mn-cs"/>
            </a:defRPr>
          </a:pPr>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gradFill>
    <a:ln w="9525" cap="flat" cmpd="sng" algn="ctr">
      <a:noFill/>
      <a:prstDash val="solid"/>
      <a:round/>
    </a:ln>
    <a:effectLst/>
  </c:spPr>
  <c:txPr>
    <a:bodyPr/>
    <a:lstStyle/>
    <a:p>
      <a:pPr>
        <a:defRPr lang="en-US"/>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en-US" sz="1500" b="1" i="0" u="none" strike="noStrike" kern="1200" cap="all" spc="100" normalizeH="0" baseline="0">
              <a:solidFill>
                <a:schemeClr val="lt1"/>
              </a:solidFill>
              <a:latin typeface="+mn-lt"/>
              <a:ea typeface="+mn-ea"/>
              <a:cs typeface="+mn-cs"/>
            </a:defRPr>
          </a:pPr>
        </a:p>
      </c:txPr>
    </c:title>
    <c:autoTitleDeleted val="0"/>
    <c:plotArea>
      <c:layout/>
      <c:lineChart>
        <c:grouping val="standard"/>
        <c:varyColors val="0"/>
        <c:ser>
          <c:idx val="0"/>
          <c:order val="0"/>
          <c:tx>
            <c:strRef>
              <c:f>'[BalanceSheet.xlsx]Income Statement'!$A$38</c:f>
              <c:strCache>
                <c:ptCount val="1"/>
                <c:pt idx="0">
                  <c:v>NET PROFIT/LOSS AFTER TAX</c:v>
                </c:pt>
              </c:strCache>
            </c:strRef>
          </c:tx>
          <c:spPr>
            <a:ln w="34925" cap="rnd" cmpd="sng" algn="ctr">
              <a:solidFill>
                <a:schemeClr val="lt1"/>
              </a:solidFill>
              <a:prstDash val="solid"/>
              <a:round/>
            </a:ln>
            <a:effectLst>
              <a:outerShdw dist="25400" dir="2700000" algn="tl" rotWithShape="0">
                <a:schemeClr val="accent1"/>
              </a:outerShdw>
            </a:effectLst>
          </c:spPr>
          <c:marker>
            <c:symbol val="none"/>
          </c:marker>
          <c:dLbls>
            <c:spPr>
              <a:solidFill>
                <a:schemeClr val="tx1">
                  <a:lumMod val="85000"/>
                  <a:lumOff val="15000"/>
                </a:schemeClr>
              </a:solidFill>
              <a:ln>
                <a:noFill/>
              </a:ln>
              <a:effectLst/>
            </c:spPr>
            <c:txPr>
              <a:bodyPr rot="0" spcFirstLastPara="0" vertOverflow="ellipsis" vert="horz" wrap="square" lIns="38100" tIns="19050" rIns="38100" bIns="19050" anchor="ctr" anchorCtr="1"/>
              <a:lstStyle/>
              <a:p>
                <a:pPr>
                  <a:defRPr lang="en-US" sz="900" b="1" i="0" u="none" strike="noStrike" kern="1200" baseline="0">
                    <a:solidFill>
                      <a:schemeClr val="lt1"/>
                    </a:solidFill>
                    <a:latin typeface="+mn-lt"/>
                    <a:ea typeface="+mn-ea"/>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accent1">
                          <a:lumMod val="60000"/>
                          <a:lumOff val="40000"/>
                        </a:schemeClr>
                      </a:solidFill>
                      <a:prstDash val="solid"/>
                      <a:round/>
                    </a:ln>
                    <a:effectLst/>
                  </c:spPr>
                </c15:leaderLines>
              </c:ext>
            </c:extLst>
          </c:dLbls>
          <c:cat>
            <c:strRef>
              <c:f>'[BalanceSheet.xlsx]Income Statement'!$B$5:$D$5</c:f>
              <c:strCache>
                <c:ptCount val="3"/>
                <c:pt idx="0">
                  <c:v>End of Year 1</c:v>
                </c:pt>
                <c:pt idx="1">
                  <c:v>End of Year 2 (Projected)</c:v>
                </c:pt>
                <c:pt idx="2">
                  <c:v>End of Year 3 (Projected)</c:v>
                </c:pt>
              </c:strCache>
            </c:strRef>
          </c:cat>
          <c:val>
            <c:numRef>
              <c:f>'[BalanceSheet.xlsx]Income Statement'!$B$38:$D$38</c:f>
              <c:numCache>
                <c:formatCode>_("$"* #,##0.00_);_("$"* \(#,##0.00\);_("$"* "-"??_);_(@_)</c:formatCode>
                <c:ptCount val="3"/>
                <c:pt idx="0">
                  <c:v>59490.95</c:v>
                </c:pt>
                <c:pt idx="1">
                  <c:v>88251.295</c:v>
                </c:pt>
                <c:pt idx="2">
                  <c:v>117946.21</c:v>
                </c:pt>
              </c:numCache>
            </c:numRef>
          </c:val>
          <c:smooth val="0"/>
        </c:ser>
        <c:dLbls>
          <c:showLegendKey val="0"/>
          <c:showVal val="1"/>
          <c:showCatName val="0"/>
          <c:showSerName val="0"/>
          <c:showPercent val="0"/>
          <c:showBubbleSize val="0"/>
        </c:dLbls>
        <c:dropLines>
          <c:spPr>
            <a:ln w="9525" cap="flat" cmpd="sng" algn="ctr">
              <a:gradFill>
                <a:gsLst>
                  <a:gs pos="0">
                    <a:schemeClr val="lt1"/>
                  </a:gs>
                  <a:gs pos="100000">
                    <a:schemeClr val="lt1">
                      <a:alpha val="0"/>
                    </a:schemeClr>
                  </a:gs>
                </a:gsLst>
                <a:lin ang="5400000" scaled="0"/>
              </a:gradFill>
              <a:prstDash val="solid"/>
              <a:round/>
            </a:ln>
            <a:effectLst/>
          </c:spPr>
        </c:dropLines>
        <c:marker val="0"/>
        <c:smooth val="0"/>
        <c:axId val="250766080"/>
        <c:axId val="250768384"/>
      </c:lineChart>
      <c:catAx>
        <c:axId val="250766080"/>
        <c:scaling>
          <c:orientation val="minMax"/>
        </c:scaling>
        <c:delete val="0"/>
        <c:axPos val="b"/>
        <c:numFmt formatCode="General" sourceLinked="0"/>
        <c:majorTickMark val="none"/>
        <c:minorTickMark val="none"/>
        <c:tickLblPos val="nextTo"/>
        <c:spPr>
          <a:noFill/>
          <a:ln w="12700" cap="flat" cmpd="sng" algn="ctr">
            <a:solidFill>
              <a:schemeClr val="lt1"/>
            </a:solidFill>
            <a:prstDash val="solid"/>
            <a:round/>
          </a:ln>
          <a:effectLst/>
        </c:spPr>
        <c:txPr>
          <a:bodyPr rot="-60000000" spcFirstLastPara="0" vertOverflow="ellipsis" vert="horz" wrap="square" anchor="ctr" anchorCtr="1"/>
          <a:lstStyle/>
          <a:p>
            <a:pPr>
              <a:defRPr lang="en-US" sz="900" b="0" i="0" u="none" strike="noStrike" kern="1200" spc="100" baseline="0">
                <a:solidFill>
                  <a:schemeClr val="lt1"/>
                </a:solidFill>
                <a:latin typeface="+mn-lt"/>
                <a:ea typeface="+mn-ea"/>
                <a:cs typeface="+mn-cs"/>
              </a:defRPr>
            </a:pPr>
          </a:p>
        </c:txPr>
        <c:crossAx val="250768384"/>
        <c:crosses val="autoZero"/>
        <c:auto val="1"/>
        <c:lblAlgn val="ctr"/>
        <c:lblOffset val="100"/>
        <c:noMultiLvlLbl val="0"/>
      </c:catAx>
      <c:valAx>
        <c:axId val="250768384"/>
        <c:scaling>
          <c:orientation val="minMax"/>
        </c:scaling>
        <c:delete val="0"/>
        <c:axPos val="l"/>
        <c:numFmt formatCode="_(&quot;$&quot;* #,##0.00_);_(&quot;$&quot;* \(#,##0.00\);_(&quot;$&quot;* &quot;-&quot;??_);_(@_)" sourceLinked="1"/>
        <c:majorTickMark val="none"/>
        <c:minorTickMark val="none"/>
        <c:tickLblPos val="nextTo"/>
        <c:spPr>
          <a:noFill/>
          <a:ln w="9525" cap="flat" cmpd="sng" algn="ctr">
            <a:noFill/>
            <a:prstDash val="solid"/>
            <a:round/>
          </a:ln>
          <a:effectLst/>
        </c:spPr>
        <c:txPr>
          <a:bodyPr rot="-60000000" spcFirstLastPara="0" vertOverflow="ellipsis" vert="horz" wrap="square" anchor="ctr" anchorCtr="1"/>
          <a:lstStyle/>
          <a:p>
            <a:pPr>
              <a:defRPr lang="en-US" sz="900" b="0" i="0" u="none" strike="noStrike" kern="1200" baseline="0">
                <a:solidFill>
                  <a:schemeClr val="lt1"/>
                </a:solidFill>
                <a:latin typeface="+mn-lt"/>
                <a:ea typeface="+mn-ea"/>
                <a:cs typeface="+mn-cs"/>
              </a:defRPr>
            </a:pPr>
          </a:p>
        </c:txPr>
        <c:crossAx val="250766080"/>
        <c:crosses val="autoZero"/>
        <c:crossBetween val="between"/>
      </c:valAx>
      <c:spPr>
        <a:noFill/>
        <a:ln>
          <a:noFill/>
        </a:ln>
        <a:effectLst/>
      </c:spPr>
    </c:plotArea>
    <c:plotVisOnly val="1"/>
    <c:dispBlanksAs val="gap"/>
    <c:showDLblsOverMax val="0"/>
  </c:chart>
  <c:spPr>
    <a:solidFill>
      <a:schemeClr val="accent1"/>
    </a:solidFill>
    <a:ln w="9525" cap="flat" cmpd="sng" algn="ctr">
      <a:solidFill>
        <a:schemeClr val="accent1"/>
      </a:solidFill>
      <a:prstDash val="solid"/>
      <a:round/>
    </a:ln>
    <a:effectLst/>
  </c:spPr>
  <c:txPr>
    <a:bodyPr/>
    <a:lstStyle/>
    <a:p>
      <a:pPr>
        <a:defRPr lang="en-US"/>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en-US" sz="1400" b="0" i="0" u="none" strike="noStrike" kern="1200" cap="none" spc="20" baseline="0">
              <a:solidFill>
                <a:schemeClr val="dk1">
                  <a:lumMod val="50000"/>
                  <a:lumOff val="50000"/>
                </a:schemeClr>
              </a:solidFill>
              <a:latin typeface="+mn-lt"/>
              <a:ea typeface="+mn-ea"/>
              <a:cs typeface="+mn-cs"/>
            </a:defRPr>
          </a:pPr>
        </a:p>
      </c:txPr>
    </c:title>
    <c:autoTitleDeleted val="0"/>
    <c:plotArea>
      <c:layout/>
      <c:lineChart>
        <c:grouping val="standard"/>
        <c:varyColors val="0"/>
        <c:ser>
          <c:idx val="0"/>
          <c:order val="0"/>
          <c:tx>
            <c:strRef>
              <c:f>'[BalanceSheet.xlsx]Cash Flow'!$A$48</c:f>
              <c:strCache>
                <c:ptCount val="1"/>
                <c:pt idx="0">
                  <c:v>Cash Position</c:v>
                </c:pt>
              </c:strCache>
            </c:strRef>
          </c:tx>
          <c:spPr>
            <a:ln w="22225" cap="rnd" cmpd="sng" algn="ctr">
              <a:solidFill>
                <a:schemeClr val="accent1"/>
              </a:solidFill>
              <a:prstDash val="solid"/>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dk1">
                        <a:lumMod val="65000"/>
                        <a:lumOff val="3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dk1">
                          <a:lumMod val="35000"/>
                          <a:lumOff val="65000"/>
                        </a:schemeClr>
                      </a:solidFill>
                      <a:prstDash val="solid"/>
                      <a:round/>
                    </a:ln>
                    <a:effectLst/>
                  </c:spPr>
                </c15:leaderLines>
              </c:ext>
            </c:extLst>
          </c:dLbls>
          <c:cat>
            <c:strRef>
              <c:f>'[BalanceSheet.xlsx]Cash Flow'!$B$5:$N$5</c:f>
              <c:strCache>
                <c:ptCount val="13"/>
                <c:pt idx="0">
                  <c:v>Pre Start Up Estimate</c:v>
                </c:pt>
                <c:pt idx="1">
                  <c:v>Month 1</c:v>
                </c:pt>
                <c:pt idx="2">
                  <c:v>Month 2</c:v>
                </c:pt>
                <c:pt idx="3">
                  <c:v>Month 3</c:v>
                </c:pt>
                <c:pt idx="4">
                  <c:v>Month 4</c:v>
                </c:pt>
                <c:pt idx="5">
                  <c:v>Month 5</c:v>
                </c:pt>
                <c:pt idx="6">
                  <c:v>Month 6</c:v>
                </c:pt>
                <c:pt idx="7">
                  <c:v>Month 7</c:v>
                </c:pt>
                <c:pt idx="8">
                  <c:v>Month 8</c:v>
                </c:pt>
                <c:pt idx="9">
                  <c:v>Month 9</c:v>
                </c:pt>
                <c:pt idx="10">
                  <c:v>Month 10</c:v>
                </c:pt>
                <c:pt idx="11">
                  <c:v>Month 11</c:v>
                </c:pt>
                <c:pt idx="12">
                  <c:v>Month 12</c:v>
                </c:pt>
              </c:strCache>
            </c:strRef>
          </c:cat>
          <c:val>
            <c:numRef>
              <c:f>'[BalanceSheet.xlsx]Cash Flow'!$B$48:$N$48</c:f>
              <c:numCache>
                <c:formatCode>_("$"* #,##0.00_);_("$"* \(#,##0.00\);_("$"* "-"??_);_(@_)</c:formatCode>
                <c:ptCount val="13"/>
                <c:pt idx="0">
                  <c:v>0</c:v>
                </c:pt>
                <c:pt idx="1">
                  <c:v>-4292.91666666668</c:v>
                </c:pt>
                <c:pt idx="2">
                  <c:v>4049.16666666667</c:v>
                </c:pt>
                <c:pt idx="3">
                  <c:v>12391.25</c:v>
                </c:pt>
                <c:pt idx="4">
                  <c:v>20733.3333333333</c:v>
                </c:pt>
                <c:pt idx="5">
                  <c:v>29075.4166666667</c:v>
                </c:pt>
                <c:pt idx="6">
                  <c:v>37417.5</c:v>
                </c:pt>
                <c:pt idx="7">
                  <c:v>45759.5833333334</c:v>
                </c:pt>
                <c:pt idx="8">
                  <c:v>54101.6666666666</c:v>
                </c:pt>
                <c:pt idx="9">
                  <c:v>62443.75</c:v>
                </c:pt>
                <c:pt idx="10">
                  <c:v>70785.8333333334</c:v>
                </c:pt>
                <c:pt idx="11">
                  <c:v>79127.9166666665</c:v>
                </c:pt>
                <c:pt idx="12">
                  <c:v>71655.9500000001</c:v>
                </c:pt>
              </c:numCache>
            </c:numRef>
          </c:val>
          <c:smooth val="0"/>
        </c:ser>
        <c:dLbls>
          <c:showLegendKey val="0"/>
          <c:showVal val="1"/>
          <c:showCatName val="0"/>
          <c:showSerName val="0"/>
          <c:showPercent val="0"/>
          <c:showBubbleSize val="0"/>
        </c:dLbls>
        <c:dropLines>
          <c:spPr>
            <a:ln w="9525" cap="flat" cmpd="sng" algn="ctr">
              <a:solidFill>
                <a:schemeClr val="dk1">
                  <a:lumMod val="35000"/>
                  <a:lumOff val="65000"/>
                  <a:alpha val="33000"/>
                </a:schemeClr>
              </a:solidFill>
              <a:prstDash val="solid"/>
              <a:round/>
            </a:ln>
            <a:effectLst/>
          </c:spPr>
        </c:dropLines>
        <c:marker val="0"/>
        <c:smooth val="0"/>
        <c:axId val="269818112"/>
        <c:axId val="269855360"/>
      </c:lineChart>
      <c:catAx>
        <c:axId val="269818112"/>
        <c:scaling>
          <c:orientation val="minMax"/>
        </c:scaling>
        <c:delete val="0"/>
        <c:axPos val="b"/>
        <c:numFmt formatCode="General" sourceLinked="0"/>
        <c:majorTickMark val="none"/>
        <c:minorTickMark val="none"/>
        <c:tickLblPos val="nextTo"/>
        <c:spPr>
          <a:noFill/>
          <a:ln w="9525" cap="flat" cmpd="sng" algn="ctr">
            <a:solidFill>
              <a:schemeClr val="dk1">
                <a:lumMod val="15000"/>
                <a:lumOff val="85000"/>
              </a:schemeClr>
            </a:solidFill>
            <a:prstDash val="solid"/>
            <a:round/>
          </a:ln>
          <a:effectLst/>
        </c:spPr>
        <c:txPr>
          <a:bodyPr rot="-60000000" spcFirstLastPara="0" vertOverflow="ellipsis" vert="horz" wrap="square" anchor="ctr" anchorCtr="1"/>
          <a:lstStyle/>
          <a:p>
            <a:pPr>
              <a:defRPr lang="en-US" sz="900" b="0" i="0" u="none" strike="noStrike" kern="1200" spc="20" baseline="0">
                <a:solidFill>
                  <a:schemeClr val="dk1">
                    <a:lumMod val="65000"/>
                    <a:lumOff val="35000"/>
                  </a:schemeClr>
                </a:solidFill>
                <a:latin typeface="+mn-lt"/>
                <a:ea typeface="+mn-ea"/>
                <a:cs typeface="+mn-cs"/>
              </a:defRPr>
            </a:pPr>
          </a:p>
        </c:txPr>
        <c:crossAx val="269855360"/>
        <c:crosses val="autoZero"/>
        <c:auto val="1"/>
        <c:lblAlgn val="ctr"/>
        <c:lblOffset val="100"/>
        <c:noMultiLvlLbl val="0"/>
      </c:catAx>
      <c:valAx>
        <c:axId val="269855360"/>
        <c:scaling>
          <c:orientation val="minMax"/>
        </c:scaling>
        <c:delete val="0"/>
        <c:axPos val="l"/>
        <c:numFmt formatCode="_(&quot;$&quot;* #,##0.00_);_(&quot;$&quot;* \(#,##0.00\);_(&quot;$&quot;* &quot;-&quot;??_);_(@_)" sourceLinked="1"/>
        <c:majorTickMark val="none"/>
        <c:minorTickMark val="none"/>
        <c:tickLblPos val="nextTo"/>
        <c:spPr>
          <a:noFill/>
          <a:ln w="9525" cap="flat" cmpd="sng" algn="ctr">
            <a:noFill/>
            <a:prstDash val="solid"/>
            <a:round/>
          </a:ln>
          <a:effectLst/>
        </c:spPr>
        <c:txPr>
          <a:bodyPr rot="-60000000" spcFirstLastPara="0" vertOverflow="ellipsis" vert="horz" wrap="square" anchor="ctr" anchorCtr="1"/>
          <a:lstStyle/>
          <a:p>
            <a:pPr>
              <a:defRPr lang="en-US" sz="900" b="0" i="0" u="none" strike="noStrike" kern="1200" spc="20" baseline="0">
                <a:solidFill>
                  <a:schemeClr val="dk1">
                    <a:lumMod val="65000"/>
                    <a:lumOff val="35000"/>
                  </a:schemeClr>
                </a:solidFill>
                <a:latin typeface="+mn-lt"/>
                <a:ea typeface="+mn-ea"/>
                <a:cs typeface="+mn-cs"/>
              </a:defRPr>
            </a:pPr>
          </a:p>
        </c:txPr>
        <c:crossAx val="269818112"/>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showDLblsOverMax val="0"/>
  </c:chart>
  <c:spPr>
    <a:solidFill>
      <a:schemeClr val="accent3">
        <a:lumMod val="20000"/>
        <a:lumOff val="80000"/>
      </a:schemeClr>
    </a:solidFill>
    <a:ln w="9525" cap="flat" cmpd="sng" algn="ctr">
      <a:solidFill>
        <a:schemeClr val="dk1">
          <a:lumMod val="15000"/>
          <a:lumOff val="85000"/>
        </a:schemeClr>
      </a:solidFill>
      <a:prstDash val="solid"/>
      <a:round/>
    </a:ln>
    <a:effectLst/>
  </c:spPr>
  <c:txPr>
    <a:bodyPr/>
    <a:lstStyle/>
    <a:p>
      <a:pPr>
        <a:defRPr lang="en-US"/>
      </a:pPr>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DC9416D-4B41-4D01-9205-8C31550FEB57}">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32</Pages>
  <Words>6208</Words>
  <Characters>35388</Characters>
  <DocSecurity>0</DocSecurity>
  <Lines>294</Lines>
  <Paragraphs>83</Paragraphs>
  <ScaleCrop>false</ScaleCrop>
  <LinksUpToDate>false</LinksUpToDate>
  <CharactersWithSpaces>41513</CharactersWithSpac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2021-02-24T06:48:00Z</dcterms:created>
  <dcterms:modified xsi:type="dcterms:W3CDTF">2021-02-25T11:40:03Z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1033-11.2.0.9984</vt:lpwstr>
  </property>
</Properties>
</file>