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Financial Statements</w:t>
      </w:r>
      <w:bookmarkStart w:id="7" w:name="_GoBack"/>
      <w:bookmarkEnd w:id="7"/>
    </w:p>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sz w:val="24"/>
          <w:szCs w:val="24"/>
        </w:rPr>
        <w:id w:val="464314448"/>
        <w:docPartObj>
          <w:docPartGallery w:val="Table of Contents"/>
          <w:docPartUnique/>
        </w:docPartObj>
      </w:sdtPr>
      <w:sdtEndPr>
        <w:rPr>
          <w:rFonts w:ascii="Times New Roman" w:hAnsi="Times New Roman" w:cs="Times New Roman" w:eastAsiaTheme="minorEastAsia"/>
          <w:color w:val="auto"/>
          <w:sz w:val="24"/>
          <w:szCs w:val="24"/>
          <w:lang w:eastAsia="zh-CN"/>
        </w:rPr>
      </w:sdtEndPr>
      <w:sdtContent>
        <w:p>
          <w:pPr>
            <w:pStyle w:val="10"/>
            <w:spacing w:before="0" w:line="480" w:lineRule="auto"/>
            <w:rPr>
              <w:rFonts w:ascii="Times New Roman" w:hAnsi="Times New Roman" w:cs="Times New Roman"/>
              <w:sz w:val="24"/>
              <w:szCs w:val="24"/>
            </w:rPr>
          </w:pPr>
          <w:r>
            <w:rPr>
              <w:rFonts w:ascii="Times New Roman" w:hAnsi="Times New Roman" w:cs="Times New Roman"/>
              <w:sz w:val="24"/>
              <w:szCs w:val="24"/>
            </w:rPr>
            <w:t>Contents</w:t>
          </w:r>
        </w:p>
        <w:p>
          <w:pPr>
            <w:pStyle w:val="9"/>
            <w:tabs>
              <w:tab w:val="right" w:leader="dot" w:pos="8296"/>
            </w:tabs>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"_Toc64992768" </w:instrText>
          </w:r>
          <w:r>
            <w:fldChar w:fldCharType="separate"/>
          </w:r>
          <w:r>
            <w:rPr>
              <w:rStyle w:val="8"/>
              <w:rFonts w:ascii="Times New Roman" w:hAnsi="Times New Roman" w:cs="Times New Roman"/>
              <w:sz w:val="24"/>
              <w:szCs w:val="24"/>
            </w:rPr>
            <w:t>Income Statement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_Toc64992768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96"/>
            </w:tabs>
            <w:spacing w:after="0" w:line="480" w:lineRule="auto"/>
            <w:rPr>
              <w:rFonts w:ascii="Times New Roman" w:hAnsi="Times New Roman" w:cs="Times New Roman"/>
              <w:sz w:val="24"/>
              <w:szCs w:val="24"/>
            </w:rPr>
          </w:pPr>
          <w:r>
            <w:fldChar w:fldCharType="begin"/>
          </w:r>
          <w:r>
            <w:instrText xml:space="preserve"> HYPERLINK \l "_Toc64992769" </w:instrText>
          </w:r>
          <w:r>
            <w:fldChar w:fldCharType="separate"/>
          </w:r>
          <w:r>
            <w:rPr>
              <w:rStyle w:val="8"/>
              <w:rFonts w:ascii="Times New Roman" w:hAnsi="Times New Roman" w:cs="Times New Roman"/>
              <w:sz w:val="24"/>
              <w:szCs w:val="24"/>
            </w:rPr>
            <w:t>Statement of Financial Position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_Toc64992769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96"/>
            </w:tabs>
            <w:spacing w:after="0" w:line="480" w:lineRule="auto"/>
            <w:rPr>
              <w:rFonts w:ascii="Times New Roman" w:hAnsi="Times New Roman" w:cs="Times New Roman"/>
              <w:sz w:val="24"/>
              <w:szCs w:val="24"/>
            </w:rPr>
          </w:pPr>
          <w:r>
            <w:fldChar w:fldCharType="begin"/>
          </w:r>
          <w:r>
            <w:instrText xml:space="preserve"> HYPERLINK \l "_Toc64992770" </w:instrText>
          </w:r>
          <w:r>
            <w:fldChar w:fldCharType="separate"/>
          </w:r>
          <w:r>
            <w:rPr>
              <w:rStyle w:val="8"/>
              <w:rFonts w:ascii="Times New Roman" w:hAnsi="Times New Roman" w:cs="Times New Roman"/>
              <w:sz w:val="24"/>
              <w:szCs w:val="24"/>
            </w:rPr>
            <w:t>Break-even Point and Margin of Safety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_Toc64992770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96"/>
            </w:tabs>
            <w:spacing w:after="0" w:line="480" w:lineRule="auto"/>
            <w:rPr>
              <w:rFonts w:ascii="Times New Roman" w:hAnsi="Times New Roman" w:cs="Times New Roman"/>
              <w:sz w:val="24"/>
              <w:szCs w:val="24"/>
            </w:rPr>
          </w:pPr>
          <w:r>
            <w:fldChar w:fldCharType="begin"/>
          </w:r>
          <w:r>
            <w:instrText xml:space="preserve"> HYPERLINK \l "_Toc64992771" </w:instrText>
          </w:r>
          <w:r>
            <w:fldChar w:fldCharType="separate"/>
          </w:r>
          <w:r>
            <w:rPr>
              <w:rStyle w:val="8"/>
              <w:rFonts w:ascii="Times New Roman" w:hAnsi="Times New Roman" w:cs="Times New Roman"/>
              <w:sz w:val="24"/>
              <w:szCs w:val="24"/>
            </w:rPr>
            <w:t>Cash Budget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_Toc64992771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96"/>
            </w:tabs>
            <w:spacing w:after="0" w:line="480" w:lineRule="auto"/>
            <w:rPr>
              <w:rFonts w:ascii="Times New Roman" w:hAnsi="Times New Roman" w:cs="Times New Roman"/>
              <w:sz w:val="24"/>
              <w:szCs w:val="24"/>
            </w:rPr>
          </w:pPr>
          <w:r>
            <w:fldChar w:fldCharType="begin"/>
          </w:r>
          <w:r>
            <w:instrText xml:space="preserve"> HYPERLINK \l "_Toc64992772" </w:instrText>
          </w:r>
          <w:r>
            <w:fldChar w:fldCharType="separate"/>
          </w:r>
          <w:r>
            <w:rPr>
              <w:rStyle w:val="8"/>
              <w:rFonts w:ascii="Times New Roman" w:hAnsi="Times New Roman" w:cs="Times New Roman"/>
              <w:sz w:val="24"/>
              <w:szCs w:val="24"/>
            </w:rPr>
            <w:t>Observation of the findings</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pStyle w:val="9"/>
            <w:tabs>
              <w:tab w:val="right" w:leader="dot" w:pos="8296"/>
            </w:tabs>
            <w:spacing w:after="0" w:line="480" w:lineRule="auto"/>
            <w:rPr>
              <w:rFonts w:ascii="Times New Roman" w:hAnsi="Times New Roman" w:cs="Times New Roman"/>
              <w:sz w:val="24"/>
              <w:szCs w:val="24"/>
            </w:rPr>
          </w:pPr>
          <w:r>
            <w:fldChar w:fldCharType="begin"/>
          </w:r>
          <w:r>
            <w:instrText xml:space="preserve"> HYPERLINK \l "_Toc64992773" </w:instrText>
          </w:r>
          <w:r>
            <w:fldChar w:fldCharType="separate"/>
          </w:r>
          <w:r>
            <w:rPr>
              <w:rStyle w:val="8"/>
              <w:rFonts w:ascii="Times New Roman" w:hAnsi="Times New Roman" w:cs="Times New Roman"/>
              <w:sz w:val="24"/>
              <w:szCs w:val="24"/>
            </w:rPr>
            <w:t>Recommendation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_Toc64992773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96"/>
            </w:tabs>
            <w:spacing w:after="0" w:line="480" w:lineRule="auto"/>
            <w:rPr>
              <w:rFonts w:ascii="Times New Roman" w:hAnsi="Times New Roman" w:cs="Times New Roman"/>
              <w:sz w:val="24"/>
              <w:szCs w:val="24"/>
            </w:rPr>
          </w:pPr>
          <w:r>
            <w:fldChar w:fldCharType="begin"/>
          </w:r>
          <w:r>
            <w:instrText xml:space="preserve"> HYPERLINK \l "_Toc64992774" </w:instrText>
          </w:r>
          <w:r>
            <w:fldChar w:fldCharType="separate"/>
          </w:r>
          <w:r>
            <w:rPr>
              <w:rStyle w:val="8"/>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_Toc64992774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480" w:lineRule="auto"/>
            <w:rPr>
              <w:rFonts w:ascii="Times New Roman" w:hAnsi="Times New Roman" w:cs="Times New Roman"/>
              <w:sz w:val="24"/>
              <w:szCs w:val="24"/>
            </w:rPr>
          </w:pPr>
          <w:r>
            <w:rPr>
              <w:rFonts w:ascii="Times New Roman" w:hAnsi="Times New Roman" w:cs="Times New Roman"/>
              <w:b/>
              <w:bCs/>
              <w:sz w:val="24"/>
              <w:szCs w:val="24"/>
            </w:rPr>
            <w:fldChar w:fldCharType="end"/>
          </w:r>
        </w:p>
      </w:sdtContent>
    </w:sdt>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pPr>
        <w:pStyle w:val="2"/>
        <w:rPr>
          <w:rFonts w:hint="default" w:ascii="Times New Roman" w:hAnsi="Times New Roman"/>
          <w:color w:val="00B0F0"/>
          <w:sz w:val="24"/>
          <w:szCs w:val="24"/>
        </w:rPr>
      </w:pPr>
      <w:bookmarkStart w:id="0" w:name="_Toc64992768"/>
      <w:r>
        <w:rPr>
          <w:rFonts w:hint="default" w:ascii="Times New Roman" w:hAnsi="Times New Roman"/>
          <w:color w:val="00B0F0"/>
          <w:sz w:val="24"/>
          <w:szCs w:val="24"/>
        </w:rPr>
        <w:t>Income Statement</w:t>
      </w:r>
      <w:bookmarkEnd w:id="0"/>
    </w:p>
    <w:tbl>
      <w:tblPr>
        <w:tblStyle w:val="4"/>
        <w:tblW w:w="5000" w:type="pct"/>
        <w:tblInd w:w="0" w:type="dxa"/>
        <w:tblLayout w:type="autofit"/>
        <w:tblCellMar>
          <w:top w:w="0" w:type="dxa"/>
          <w:left w:w="108" w:type="dxa"/>
          <w:bottom w:w="0" w:type="dxa"/>
          <w:right w:w="108" w:type="dxa"/>
        </w:tblCellMar>
      </w:tblPr>
      <w:tblGrid>
        <w:gridCol w:w="5611"/>
        <w:gridCol w:w="733"/>
        <w:gridCol w:w="2178"/>
      </w:tblGrid>
      <w:tr>
        <w:tblPrEx>
          <w:tblCellMar>
            <w:top w:w="0" w:type="dxa"/>
            <w:left w:w="108" w:type="dxa"/>
            <w:bottom w:w="0" w:type="dxa"/>
            <w:right w:w="108" w:type="dxa"/>
          </w:tblCellMar>
        </w:tblPrEx>
        <w:trPr>
          <w:trHeight w:val="312" w:hRule="atLeast"/>
        </w:trPr>
        <w:tc>
          <w:tcPr>
            <w:tcW w:w="5000"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Vera's Vegan Diner</w:t>
            </w:r>
          </w:p>
        </w:tc>
      </w:tr>
      <w:tr>
        <w:tblPrEx>
          <w:tblCellMar>
            <w:top w:w="0" w:type="dxa"/>
            <w:left w:w="108" w:type="dxa"/>
            <w:bottom w:w="0" w:type="dxa"/>
            <w:right w:w="108" w:type="dxa"/>
          </w:tblCellMar>
        </w:tblPrEx>
        <w:trPr>
          <w:trHeight w:val="312" w:hRule="atLeast"/>
        </w:trPr>
        <w:tc>
          <w:tcPr>
            <w:tcW w:w="5000" w:type="pct"/>
            <w:gridSpan w:val="3"/>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Income Statement for the year ended 31st March 2020 (£)</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u w:val="single"/>
              </w:rPr>
            </w:pPr>
            <w:r>
              <w:rPr>
                <w:rFonts w:ascii="Times New Roman" w:hAnsi="Times New Roman" w:eastAsia="SimSun" w:cs="Times New Roman"/>
                <w:b/>
                <w:bCs/>
                <w:color w:val="000000"/>
                <w:sz w:val="24"/>
                <w:szCs w:val="24"/>
                <w:u w:val="single"/>
              </w:rPr>
              <w:t>Turnover</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b/>
                <w:bCs/>
                <w:color w:val="000000"/>
                <w:sz w:val="24"/>
                <w:szCs w:val="24"/>
              </w:rPr>
            </w:pP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Sales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552,580</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Add:</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Closing Stock</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28,750</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Less: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Opening Stock</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23,788</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Purchases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98,962</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Gross Profit</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458,580</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b/>
                <w:bCs/>
                <w:color w:val="000000"/>
                <w:sz w:val="24"/>
                <w:szCs w:val="24"/>
              </w:rPr>
            </w:pP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Overheads: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Rent &amp; Rates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99,543</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Salaries &amp; Wages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225,349</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 xml:space="preserve">Motor &amp; Travel </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8,561</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Insurance</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21,075</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Advertising</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15,438</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Telephone</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1,327</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Professional Charges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6,450</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Repairs &amp; Maintenance</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8,239</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Miscellaneous Expenses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4,625</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Loan interest</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9,573</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Total Overheads</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400,180</w:t>
            </w: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b/>
                <w:bCs/>
                <w:color w:val="000000"/>
                <w:sz w:val="24"/>
                <w:szCs w:val="24"/>
              </w:rPr>
            </w:pP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329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Net Profit</w:t>
            </w:r>
          </w:p>
        </w:tc>
        <w:tc>
          <w:tcPr>
            <w:tcW w:w="4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7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58,400</w:t>
            </w:r>
          </w:p>
        </w:tc>
      </w:tr>
    </w:tbl>
    <w:p>
      <w:pPr>
        <w:rPr>
          <w:rFonts w:ascii="Times New Roman" w:hAnsi="Times New Roman" w:cs="Times New Roman"/>
          <w:sz w:val="24"/>
          <w:szCs w:val="24"/>
        </w:rPr>
      </w:pPr>
    </w:p>
    <w:p>
      <w:pPr>
        <w:pStyle w:val="2"/>
        <w:rPr>
          <w:rFonts w:hint="default" w:ascii="Times New Roman" w:hAnsi="Times New Roman"/>
          <w:color w:val="00B0F0"/>
          <w:sz w:val="24"/>
          <w:szCs w:val="24"/>
        </w:rPr>
      </w:pPr>
      <w:bookmarkStart w:id="1" w:name="_Toc64992769"/>
      <w:r>
        <w:rPr>
          <w:rFonts w:hint="default" w:ascii="Times New Roman" w:hAnsi="Times New Roman"/>
          <w:color w:val="00B0F0"/>
          <w:sz w:val="24"/>
          <w:szCs w:val="24"/>
        </w:rPr>
        <w:t>Statement of Financial Position</w:t>
      </w:r>
      <w:bookmarkEnd w:id="1"/>
    </w:p>
    <w:tbl>
      <w:tblPr>
        <w:tblStyle w:val="4"/>
        <w:tblW w:w="5000" w:type="pct"/>
        <w:tblInd w:w="0" w:type="dxa"/>
        <w:tblLayout w:type="autofit"/>
        <w:tblCellMar>
          <w:top w:w="0" w:type="dxa"/>
          <w:left w:w="108" w:type="dxa"/>
          <w:bottom w:w="0" w:type="dxa"/>
          <w:right w:w="108" w:type="dxa"/>
        </w:tblCellMar>
      </w:tblPr>
      <w:tblGrid>
        <w:gridCol w:w="3418"/>
        <w:gridCol w:w="1403"/>
        <w:gridCol w:w="2119"/>
        <w:gridCol w:w="1582"/>
      </w:tblGrid>
      <w:tr>
        <w:tblPrEx>
          <w:tblCellMar>
            <w:top w:w="0" w:type="dxa"/>
            <w:left w:w="108" w:type="dxa"/>
            <w:bottom w:w="0" w:type="dxa"/>
            <w:right w:w="108" w:type="dxa"/>
          </w:tblCellMar>
        </w:tblPrEx>
        <w:trPr>
          <w:trHeight w:val="327" w:hRule="atLeast"/>
        </w:trPr>
        <w:tc>
          <w:tcPr>
            <w:tcW w:w="5000" w:type="pct"/>
            <w:gridSpan w:val="4"/>
            <w:tcBorders>
              <w:top w:val="single" w:color="000000" w:sz="8" w:space="0"/>
              <w:left w:val="single" w:color="000000" w:sz="8" w:space="0"/>
              <w:bottom w:val="single" w:color="000000" w:sz="8" w:space="0"/>
              <w:right w:val="single" w:color="000000" w:sz="8"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Statement of Financial Position as at 31st March 2020</w:t>
            </w:r>
          </w:p>
        </w:tc>
      </w:tr>
      <w:tr>
        <w:tblPrEx>
          <w:tblCellMar>
            <w:top w:w="0" w:type="dxa"/>
            <w:left w:w="108" w:type="dxa"/>
            <w:bottom w:w="0" w:type="dxa"/>
            <w:right w:w="108" w:type="dxa"/>
          </w:tblCellMar>
        </w:tblPrEx>
        <w:trPr>
          <w:trHeight w:val="312" w:hRule="atLeast"/>
        </w:trPr>
        <w:tc>
          <w:tcPr>
            <w:tcW w:w="2006" w:type="pct"/>
            <w:tcBorders>
              <w:top w:val="single" w:color="000000" w:sz="8" w:space="0"/>
              <w:left w:val="single" w:color="000000" w:sz="8" w:space="0"/>
              <w:bottom w:val="nil"/>
              <w:right w:val="nil"/>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Non-Current Assets</w:t>
            </w:r>
          </w:p>
        </w:tc>
        <w:tc>
          <w:tcPr>
            <w:tcW w:w="823" w:type="pct"/>
            <w:tcBorders>
              <w:top w:val="single" w:color="000000" w:sz="8" w:space="0"/>
              <w:left w:val="nil"/>
              <w:bottom w:val="nil"/>
              <w:right w:val="nil"/>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Historic</w:t>
            </w:r>
          </w:p>
        </w:tc>
        <w:tc>
          <w:tcPr>
            <w:tcW w:w="1243" w:type="pct"/>
            <w:tcBorders>
              <w:top w:val="single" w:color="000000" w:sz="8" w:space="0"/>
              <w:left w:val="nil"/>
              <w:bottom w:val="nil"/>
              <w:right w:val="nil"/>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Accumulated</w:t>
            </w:r>
          </w:p>
        </w:tc>
        <w:tc>
          <w:tcPr>
            <w:tcW w:w="926" w:type="pct"/>
            <w:tcBorders>
              <w:top w:val="single" w:color="000000" w:sz="8" w:space="0"/>
              <w:left w:val="nil"/>
              <w:bottom w:val="nil"/>
              <w:right w:val="single" w:color="000000" w:sz="8"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Net Book</w:t>
            </w:r>
          </w:p>
        </w:tc>
      </w:tr>
      <w:tr>
        <w:tblPrEx>
          <w:tblCellMar>
            <w:top w:w="0" w:type="dxa"/>
            <w:left w:w="108" w:type="dxa"/>
            <w:bottom w:w="0" w:type="dxa"/>
            <w:right w:w="108" w:type="dxa"/>
          </w:tblCellMar>
        </w:tblPrEx>
        <w:trPr>
          <w:trHeight w:val="327" w:hRule="atLeast"/>
        </w:trPr>
        <w:tc>
          <w:tcPr>
            <w:tcW w:w="2006" w:type="pct"/>
            <w:tcBorders>
              <w:top w:val="nil"/>
              <w:left w:val="single" w:color="000000" w:sz="8" w:space="0"/>
              <w:bottom w:val="single" w:color="000000" w:sz="8" w:space="0"/>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single" w:color="000000" w:sz="8" w:space="0"/>
              <w:right w:val="nil"/>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Cost</w:t>
            </w:r>
          </w:p>
        </w:tc>
        <w:tc>
          <w:tcPr>
            <w:tcW w:w="1243" w:type="pct"/>
            <w:tcBorders>
              <w:top w:val="nil"/>
              <w:left w:val="nil"/>
              <w:bottom w:val="single" w:color="000000" w:sz="8" w:space="0"/>
              <w:right w:val="nil"/>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Depreciation</w:t>
            </w:r>
          </w:p>
        </w:tc>
        <w:tc>
          <w:tcPr>
            <w:tcW w:w="926" w:type="pct"/>
            <w:tcBorders>
              <w:top w:val="nil"/>
              <w:left w:val="nil"/>
              <w:bottom w:val="single" w:color="000000" w:sz="8" w:space="0"/>
              <w:right w:val="single" w:color="000000" w:sz="8"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Value</w:t>
            </w: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1243" w:type="pct"/>
            <w:tcBorders>
              <w:top w:val="nil"/>
              <w:left w:val="nil"/>
              <w:bottom w:val="nil"/>
              <w:right w:val="nil"/>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926" w:type="pct"/>
            <w:tcBorders>
              <w:top w:val="nil"/>
              <w:left w:val="nil"/>
              <w:bottom w:val="nil"/>
              <w:right w:val="single" w:color="000000" w:sz="8"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Fixtures &amp; Fittings</w:t>
            </w:r>
          </w:p>
        </w:tc>
        <w:tc>
          <w:tcPr>
            <w:tcW w:w="82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54,278</w:t>
            </w:r>
          </w:p>
        </w:tc>
        <w:tc>
          <w:tcPr>
            <w:tcW w:w="124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5,428</w:t>
            </w:r>
          </w:p>
        </w:tc>
        <w:tc>
          <w:tcPr>
            <w:tcW w:w="926" w:type="pct"/>
            <w:tcBorders>
              <w:top w:val="nil"/>
              <w:left w:val="nil"/>
              <w:bottom w:val="nil"/>
              <w:right w:val="single" w:color="000000" w:sz="8"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48,850</w:t>
            </w: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Kitchen Equipment</w:t>
            </w:r>
          </w:p>
        </w:tc>
        <w:tc>
          <w:tcPr>
            <w:tcW w:w="82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70,588</w:t>
            </w:r>
          </w:p>
        </w:tc>
        <w:tc>
          <w:tcPr>
            <w:tcW w:w="124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10,588</w:t>
            </w:r>
          </w:p>
        </w:tc>
        <w:tc>
          <w:tcPr>
            <w:tcW w:w="926" w:type="pct"/>
            <w:tcBorders>
              <w:top w:val="nil"/>
              <w:left w:val="nil"/>
              <w:bottom w:val="nil"/>
              <w:right w:val="single" w:color="000000" w:sz="8"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60,000</w:t>
            </w: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Motor Vehicles</w:t>
            </w:r>
          </w:p>
        </w:tc>
        <w:tc>
          <w:tcPr>
            <w:tcW w:w="82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50,556</w:t>
            </w:r>
          </w:p>
        </w:tc>
        <w:tc>
          <w:tcPr>
            <w:tcW w:w="124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5,056</w:t>
            </w:r>
          </w:p>
        </w:tc>
        <w:tc>
          <w:tcPr>
            <w:tcW w:w="926" w:type="pct"/>
            <w:tcBorders>
              <w:top w:val="nil"/>
              <w:left w:val="nil"/>
              <w:bottom w:val="nil"/>
              <w:right w:val="single" w:color="000000" w:sz="8"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45,500</w:t>
            </w:r>
          </w:p>
        </w:tc>
      </w:tr>
      <w:tr>
        <w:tblPrEx>
          <w:tblCellMar>
            <w:top w:w="0" w:type="dxa"/>
            <w:left w:w="108" w:type="dxa"/>
            <w:bottom w:w="0" w:type="dxa"/>
            <w:right w:w="108" w:type="dxa"/>
          </w:tblCellMar>
        </w:tblPrEx>
        <w:trPr>
          <w:trHeight w:val="327"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single" w:color="000000" w:sz="4" w:space="0"/>
              <w:left w:val="nil"/>
              <w:bottom w:val="double" w:color="000000" w:sz="4" w:space="0"/>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175,422</w:t>
            </w:r>
          </w:p>
        </w:tc>
        <w:tc>
          <w:tcPr>
            <w:tcW w:w="1243" w:type="pct"/>
            <w:tcBorders>
              <w:top w:val="single" w:color="000000" w:sz="4" w:space="0"/>
              <w:left w:val="nil"/>
              <w:bottom w:val="double" w:color="000000" w:sz="4" w:space="0"/>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21,072</w:t>
            </w:r>
          </w:p>
        </w:tc>
        <w:tc>
          <w:tcPr>
            <w:tcW w:w="926" w:type="pct"/>
            <w:tcBorders>
              <w:top w:val="single" w:color="000000" w:sz="4" w:space="0"/>
              <w:left w:val="nil"/>
              <w:bottom w:val="nil"/>
              <w:right w:val="single" w:color="000000" w:sz="8"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154,350</w:t>
            </w:r>
          </w:p>
        </w:tc>
      </w:tr>
      <w:tr>
        <w:tblPrEx>
          <w:tblCellMar>
            <w:top w:w="0" w:type="dxa"/>
            <w:left w:w="108" w:type="dxa"/>
            <w:bottom w:w="0" w:type="dxa"/>
            <w:right w:w="108" w:type="dxa"/>
          </w:tblCellMar>
        </w:tblPrEx>
        <w:trPr>
          <w:trHeight w:val="327"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Current Assets</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Stock</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28,750</w:t>
            </w: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Receivables</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21,622</w:t>
            </w: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single" w:color="000000" w:sz="4" w:space="0"/>
              <w:left w:val="nil"/>
              <w:bottom w:val="nil"/>
              <w:right w:val="nil"/>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50,372</w:t>
            </w: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Current Liabilities</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Payables</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43,820</w:t>
            </w: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Bank</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22,846</w:t>
            </w: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single" w:color="000000" w:sz="4" w:space="0"/>
              <w:left w:val="nil"/>
              <w:bottom w:val="nil"/>
              <w:right w:val="nil"/>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66,666</w:t>
            </w: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Net Current Assets</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(16,294)</w:t>
            </w: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Non-Current Assets</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Bank Loan</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55,000</w:t>
            </w: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27"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Net Assets</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single" w:color="000000" w:sz="4" w:space="0"/>
              <w:left w:val="nil"/>
              <w:bottom w:val="double" w:color="000000" w:sz="4" w:space="0"/>
              <w:right w:val="single" w:color="000000" w:sz="8"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83,056</w:t>
            </w:r>
          </w:p>
        </w:tc>
      </w:tr>
      <w:tr>
        <w:tblPrEx>
          <w:tblCellMar>
            <w:top w:w="0" w:type="dxa"/>
            <w:left w:w="108" w:type="dxa"/>
            <w:bottom w:w="0" w:type="dxa"/>
            <w:right w:w="108" w:type="dxa"/>
          </w:tblCellMar>
        </w:tblPrEx>
        <w:trPr>
          <w:trHeight w:val="327"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b/>
                <w:bCs/>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b/>
                <w:bCs/>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Representing:</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Shareholders' funds</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Share Capital</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24,656</w:t>
            </w:r>
          </w:p>
        </w:tc>
      </w:tr>
      <w:tr>
        <w:tblPrEx>
          <w:tblCellMar>
            <w:top w:w="0" w:type="dxa"/>
            <w:left w:w="108" w:type="dxa"/>
            <w:bottom w:w="0" w:type="dxa"/>
            <w:right w:w="108" w:type="dxa"/>
          </w:tblCellMar>
        </w:tblPrEx>
        <w:trPr>
          <w:trHeight w:val="312" w:hRule="atLeast"/>
        </w:trPr>
        <w:tc>
          <w:tcPr>
            <w:tcW w:w="2006" w:type="pct"/>
            <w:tcBorders>
              <w:top w:val="nil"/>
              <w:left w:val="single" w:color="000000" w:sz="8" w:space="0"/>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Retained Profit for Year</w:t>
            </w:r>
          </w:p>
        </w:tc>
        <w:tc>
          <w:tcPr>
            <w:tcW w:w="82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nil"/>
              <w:left w:val="nil"/>
              <w:bottom w:val="nil"/>
              <w:right w:val="single" w:color="000000" w:sz="8"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58,400</w:t>
            </w:r>
          </w:p>
        </w:tc>
      </w:tr>
      <w:tr>
        <w:tblPrEx>
          <w:tblCellMar>
            <w:top w:w="0" w:type="dxa"/>
            <w:left w:w="108" w:type="dxa"/>
            <w:bottom w:w="0" w:type="dxa"/>
            <w:right w:w="108" w:type="dxa"/>
          </w:tblCellMar>
        </w:tblPrEx>
        <w:trPr>
          <w:trHeight w:val="327" w:hRule="atLeast"/>
        </w:trPr>
        <w:tc>
          <w:tcPr>
            <w:tcW w:w="2006" w:type="pct"/>
            <w:tcBorders>
              <w:top w:val="nil"/>
              <w:left w:val="single" w:color="000000" w:sz="8" w:space="0"/>
              <w:bottom w:val="single" w:color="000000" w:sz="8" w:space="0"/>
              <w:right w:val="nil"/>
            </w:tcBorders>
            <w:shd w:val="clear" w:color="auto" w:fill="auto"/>
            <w:noWrap/>
            <w:vAlign w:val="bottom"/>
          </w:tcPr>
          <w:p>
            <w:pPr>
              <w:rPr>
                <w:rFonts w:ascii="Times New Roman" w:hAnsi="Times New Roman" w:cs="Times New Roman"/>
                <w:color w:val="000000"/>
                <w:sz w:val="24"/>
                <w:szCs w:val="24"/>
              </w:rPr>
            </w:pPr>
          </w:p>
        </w:tc>
        <w:tc>
          <w:tcPr>
            <w:tcW w:w="823" w:type="pct"/>
            <w:tcBorders>
              <w:top w:val="nil"/>
              <w:left w:val="nil"/>
              <w:bottom w:val="single" w:color="000000" w:sz="8" w:space="0"/>
              <w:right w:val="nil"/>
            </w:tcBorders>
            <w:shd w:val="clear" w:color="auto" w:fill="auto"/>
            <w:noWrap/>
            <w:vAlign w:val="bottom"/>
          </w:tcPr>
          <w:p>
            <w:pPr>
              <w:rPr>
                <w:rFonts w:ascii="Times New Roman" w:hAnsi="Times New Roman" w:cs="Times New Roman"/>
                <w:color w:val="000000"/>
                <w:sz w:val="24"/>
                <w:szCs w:val="24"/>
              </w:rPr>
            </w:pPr>
          </w:p>
        </w:tc>
        <w:tc>
          <w:tcPr>
            <w:tcW w:w="1243" w:type="pct"/>
            <w:tcBorders>
              <w:top w:val="nil"/>
              <w:left w:val="nil"/>
              <w:bottom w:val="single" w:color="000000" w:sz="8" w:space="0"/>
              <w:right w:val="nil"/>
            </w:tcBorders>
            <w:shd w:val="clear" w:color="auto" w:fill="auto"/>
            <w:noWrap/>
            <w:vAlign w:val="bottom"/>
          </w:tcPr>
          <w:p>
            <w:pPr>
              <w:rPr>
                <w:rFonts w:ascii="Times New Roman" w:hAnsi="Times New Roman" w:cs="Times New Roman"/>
                <w:color w:val="000000"/>
                <w:sz w:val="24"/>
                <w:szCs w:val="24"/>
              </w:rPr>
            </w:pPr>
          </w:p>
        </w:tc>
        <w:tc>
          <w:tcPr>
            <w:tcW w:w="926" w:type="pct"/>
            <w:tcBorders>
              <w:top w:val="single" w:color="000000" w:sz="4" w:space="0"/>
              <w:left w:val="nil"/>
              <w:bottom w:val="single" w:color="000000" w:sz="8" w:space="0"/>
              <w:right w:val="single" w:color="000000" w:sz="8"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83,056</w:t>
            </w:r>
          </w:p>
        </w:tc>
      </w:tr>
    </w:tbl>
    <w:p>
      <w:pPr>
        <w:rPr>
          <w:rFonts w:ascii="Times New Roman" w:hAnsi="Times New Roman" w:cs="Times New Roman"/>
          <w:sz w:val="24"/>
          <w:szCs w:val="24"/>
        </w:rPr>
      </w:pPr>
    </w:p>
    <w:p>
      <w:pPr>
        <w:pStyle w:val="2"/>
        <w:rPr>
          <w:rFonts w:hint="default" w:ascii="Times New Roman" w:hAnsi="Times New Roman"/>
          <w:color w:val="00B0F0"/>
          <w:sz w:val="24"/>
          <w:szCs w:val="24"/>
        </w:rPr>
      </w:pPr>
      <w:bookmarkStart w:id="2" w:name="_Toc64992770"/>
      <w:r>
        <w:rPr>
          <w:rFonts w:hint="default" w:ascii="Times New Roman" w:hAnsi="Times New Roman"/>
          <w:color w:val="00B0F0"/>
          <w:sz w:val="24"/>
          <w:szCs w:val="24"/>
        </w:rPr>
        <w:t>Break-even Point and Margin of Safety</w:t>
      </w:r>
      <w:bookmarkEnd w:id="2"/>
    </w:p>
    <w:tbl>
      <w:tblPr>
        <w:tblStyle w:val="4"/>
        <w:tblW w:w="5000" w:type="pct"/>
        <w:tblInd w:w="0" w:type="dxa"/>
        <w:tblLayout w:type="autofit"/>
        <w:tblCellMar>
          <w:top w:w="0" w:type="dxa"/>
          <w:left w:w="108" w:type="dxa"/>
          <w:bottom w:w="0" w:type="dxa"/>
          <w:right w:w="108" w:type="dxa"/>
        </w:tblCellMar>
      </w:tblPr>
      <w:tblGrid>
        <w:gridCol w:w="3048"/>
        <w:gridCol w:w="4499"/>
        <w:gridCol w:w="975"/>
      </w:tblGrid>
      <w:tr>
        <w:tblPrEx>
          <w:tblCellMar>
            <w:top w:w="0" w:type="dxa"/>
            <w:left w:w="108" w:type="dxa"/>
            <w:bottom w:w="0" w:type="dxa"/>
            <w:right w:w="108" w:type="dxa"/>
          </w:tblCellMar>
        </w:tblPrEx>
        <w:trPr>
          <w:trHeight w:val="312" w:hRule="atLeast"/>
        </w:trPr>
        <w:tc>
          <w:tcPr>
            <w:tcW w:w="5000" w:type="pct"/>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Vera's Vegan Diner</w:t>
            </w:r>
          </w:p>
        </w:tc>
      </w:tr>
      <w:tr>
        <w:tblPrEx>
          <w:tblCellMar>
            <w:top w:w="0" w:type="dxa"/>
            <w:left w:w="108" w:type="dxa"/>
            <w:bottom w:w="0" w:type="dxa"/>
            <w:right w:w="108" w:type="dxa"/>
          </w:tblCellMar>
        </w:tblPrEx>
        <w:trPr>
          <w:trHeight w:val="312" w:hRule="atLeast"/>
        </w:trPr>
        <w:tc>
          <w:tcPr>
            <w:tcW w:w="5000" w:type="pct"/>
            <w:gridSpan w:val="3"/>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Income Statement for the year ended 31st March 2020 (£)</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Number of customers</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color w:val="000000"/>
                <w:sz w:val="24"/>
                <w:szCs w:val="24"/>
              </w:rPr>
            </w:pP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25,000</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Particulars</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Amount</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u w:val="single"/>
              </w:rPr>
            </w:pPr>
            <w:r>
              <w:rPr>
                <w:rFonts w:ascii="Times New Roman" w:hAnsi="Times New Roman" w:eastAsia="SimSun" w:cs="Times New Roman"/>
                <w:b/>
                <w:bCs/>
                <w:color w:val="000000"/>
                <w:sz w:val="24"/>
                <w:szCs w:val="24"/>
                <w:u w:val="single"/>
              </w:rPr>
              <w:t>Turnover</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b/>
                <w:bCs/>
                <w:color w:val="000000"/>
                <w:sz w:val="24"/>
                <w:szCs w:val="24"/>
              </w:rPr>
            </w:pP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Sales</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552,580</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Add:</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Closing Stock</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28,750</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Less:</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ascii="Times New Roman" w:hAnsi="Times New Roman" w:cs="Times New Roman"/>
                <w:b/>
                <w:bCs/>
                <w:color w:val="000000"/>
                <w:sz w:val="24"/>
                <w:szCs w:val="24"/>
              </w:rPr>
            </w:pP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Opening Stock</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23,788</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Purchases</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98,962</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Gross Profit</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458,580</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Less: Variable Overheads (60%)</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240,108</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Contribution</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218,472</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Contribution per customer</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8.74</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Less: Fixed Cost (40%)</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160,072</w:t>
            </w:r>
          </w:p>
        </w:tc>
      </w:tr>
      <w:tr>
        <w:tblPrEx>
          <w:tblCellMar>
            <w:top w:w="0" w:type="dxa"/>
            <w:left w:w="108" w:type="dxa"/>
            <w:bottom w:w="0" w:type="dxa"/>
            <w:right w:w="108" w:type="dxa"/>
          </w:tblCellMar>
        </w:tblPrEx>
        <w:trPr>
          <w:trHeight w:val="312" w:hRule="atLeast"/>
        </w:trPr>
        <w:tc>
          <w:tcPr>
            <w:tcW w:w="178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Profit</w:t>
            </w:r>
          </w:p>
        </w:tc>
        <w:tc>
          <w:tcPr>
            <w:tcW w:w="264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w:t>
            </w:r>
          </w:p>
        </w:tc>
        <w:tc>
          <w:tcPr>
            <w:tcW w:w="56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58,400</w:t>
            </w:r>
          </w:p>
        </w:tc>
      </w:tr>
      <w:tr>
        <w:tblPrEx>
          <w:tblCellMar>
            <w:top w:w="0" w:type="dxa"/>
            <w:left w:w="108" w:type="dxa"/>
            <w:bottom w:w="0" w:type="dxa"/>
            <w:right w:w="108" w:type="dxa"/>
          </w:tblCellMar>
        </w:tblPrEx>
        <w:trPr>
          <w:trHeight w:val="312" w:hRule="atLeast"/>
        </w:trPr>
        <w:tc>
          <w:tcPr>
            <w:tcW w:w="1789"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2646" w:type="pct"/>
            <w:tcBorders>
              <w:top w:val="nil"/>
              <w:left w:val="nil"/>
              <w:bottom w:val="nil"/>
              <w:right w:val="nil"/>
            </w:tcBorders>
            <w:shd w:val="clear" w:color="auto" w:fill="auto"/>
            <w:noWrap/>
            <w:vAlign w:val="bottom"/>
          </w:tcPr>
          <w:p>
            <w:pPr>
              <w:jc w:val="center"/>
              <w:rPr>
                <w:rFonts w:ascii="Times New Roman" w:hAnsi="Times New Roman" w:cs="Times New Roman"/>
                <w:b/>
                <w:bCs/>
                <w:color w:val="000000"/>
                <w:sz w:val="24"/>
                <w:szCs w:val="24"/>
              </w:rPr>
            </w:pPr>
          </w:p>
        </w:tc>
        <w:tc>
          <w:tcPr>
            <w:tcW w:w="56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1789" w:type="pct"/>
            <w:tcBorders>
              <w:top w:val="nil"/>
              <w:left w:val="nil"/>
              <w:bottom w:val="nil"/>
              <w:right w:val="nil"/>
            </w:tcBorders>
            <w:shd w:val="clear" w:color="auto" w:fill="auto"/>
            <w:noWrap/>
            <w:vAlign w:val="bottom"/>
          </w:tcPr>
          <w:p>
            <w:pPr>
              <w:textAlignment w:val="bottom"/>
              <w:rPr>
                <w:rFonts w:ascii="Times New Roman" w:hAnsi="Times New Roman" w:cs="Times New Roman"/>
                <w:b/>
                <w:bCs/>
                <w:color w:val="000000"/>
                <w:sz w:val="24"/>
                <w:szCs w:val="24"/>
                <w:u w:val="single"/>
              </w:rPr>
            </w:pPr>
            <w:r>
              <w:rPr>
                <w:rFonts w:ascii="Times New Roman" w:hAnsi="Times New Roman" w:eastAsia="SimSun" w:cs="Times New Roman"/>
                <w:b/>
                <w:bCs/>
                <w:color w:val="000000"/>
                <w:sz w:val="24"/>
                <w:szCs w:val="24"/>
                <w:u w:val="single"/>
              </w:rPr>
              <w:t>Break-even point</w:t>
            </w:r>
          </w:p>
        </w:tc>
        <w:tc>
          <w:tcPr>
            <w:tcW w:w="2646" w:type="pct"/>
            <w:tcBorders>
              <w:top w:val="nil"/>
              <w:left w:val="nil"/>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Fixed cost/ contribution per unit</w:t>
            </w:r>
          </w:p>
        </w:tc>
        <w:tc>
          <w:tcPr>
            <w:tcW w:w="56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r>
              <w:rPr>
                <w:rFonts w:ascii="Times New Roman" w:hAnsi="Times New Roman" w:cs="Times New Roman"/>
                <w:color w:val="000000"/>
                <w:sz w:val="24"/>
                <w:szCs w:val="24"/>
              </w:rPr>
              <w:t>18,317</w:t>
            </w:r>
          </w:p>
        </w:tc>
      </w:tr>
      <w:tr>
        <w:tblPrEx>
          <w:tblCellMar>
            <w:top w:w="0" w:type="dxa"/>
            <w:left w:w="108" w:type="dxa"/>
            <w:bottom w:w="0" w:type="dxa"/>
            <w:right w:w="108" w:type="dxa"/>
          </w:tblCellMar>
        </w:tblPrEx>
        <w:trPr>
          <w:trHeight w:val="312" w:hRule="atLeast"/>
        </w:trPr>
        <w:tc>
          <w:tcPr>
            <w:tcW w:w="1789"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2646"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c>
          <w:tcPr>
            <w:tcW w:w="56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p>
        </w:tc>
      </w:tr>
      <w:tr>
        <w:trPr>
          <w:trHeight w:val="312" w:hRule="atLeast"/>
        </w:trPr>
        <w:tc>
          <w:tcPr>
            <w:tcW w:w="1789" w:type="pct"/>
            <w:tcBorders>
              <w:top w:val="nil"/>
              <w:left w:val="nil"/>
              <w:bottom w:val="nil"/>
              <w:right w:val="nil"/>
            </w:tcBorders>
            <w:shd w:val="clear" w:color="auto" w:fill="auto"/>
            <w:noWrap/>
            <w:vAlign w:val="bottom"/>
          </w:tcPr>
          <w:p>
            <w:pPr>
              <w:textAlignment w:val="bottom"/>
              <w:rPr>
                <w:rFonts w:ascii="Times New Roman" w:hAnsi="Times New Roman" w:cs="Times New Roman"/>
                <w:b/>
                <w:bCs/>
                <w:color w:val="000000"/>
                <w:sz w:val="24"/>
                <w:szCs w:val="24"/>
                <w:u w:val="single"/>
              </w:rPr>
            </w:pPr>
            <w:r>
              <w:rPr>
                <w:rFonts w:ascii="Times New Roman" w:hAnsi="Times New Roman" w:eastAsia="SimSun" w:cs="Times New Roman"/>
                <w:b/>
                <w:bCs/>
                <w:color w:val="000000"/>
                <w:sz w:val="24"/>
                <w:szCs w:val="24"/>
                <w:u w:val="single"/>
              </w:rPr>
              <w:t>Margin of safety</w:t>
            </w:r>
          </w:p>
        </w:tc>
        <w:tc>
          <w:tcPr>
            <w:tcW w:w="2646" w:type="pct"/>
            <w:tcBorders>
              <w:top w:val="nil"/>
              <w:left w:val="nil"/>
              <w:bottom w:val="nil"/>
              <w:right w:val="nil"/>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(Current sales-BEP sales)/current sales level*100</w:t>
            </w:r>
          </w:p>
        </w:tc>
        <w:tc>
          <w:tcPr>
            <w:tcW w:w="563" w:type="pct"/>
            <w:tcBorders>
              <w:top w:val="nil"/>
              <w:left w:val="nil"/>
              <w:bottom w:val="nil"/>
              <w:right w:val="nil"/>
            </w:tcBorders>
            <w:shd w:val="clear" w:color="auto" w:fill="auto"/>
            <w:noWrap/>
            <w:vAlign w:val="bottom"/>
          </w:tcPr>
          <w:p>
            <w:pPr>
              <w:rPr>
                <w:rFonts w:ascii="Times New Roman" w:hAnsi="Times New Roman" w:cs="Times New Roman"/>
                <w:color w:val="000000"/>
                <w:sz w:val="24"/>
                <w:szCs w:val="24"/>
              </w:rPr>
            </w:pPr>
            <w:r>
              <w:rPr>
                <w:rFonts w:ascii="Times New Roman" w:hAnsi="Times New Roman" w:cs="Times New Roman"/>
                <w:color w:val="000000"/>
                <w:sz w:val="24"/>
                <w:szCs w:val="24"/>
              </w:rPr>
              <w:t>26.73%</w:t>
            </w:r>
          </w:p>
        </w:tc>
      </w:tr>
    </w:tbl>
    <w:p>
      <w:pPr>
        <w:rPr>
          <w:rFonts w:ascii="Times New Roman" w:hAnsi="Times New Roman" w:cs="Times New Roman"/>
          <w:sz w:val="24"/>
          <w:szCs w:val="24"/>
        </w:rPr>
      </w:pPr>
    </w:p>
    <w:p>
      <w:pPr>
        <w:pStyle w:val="2"/>
        <w:rPr>
          <w:rFonts w:hint="default" w:ascii="Times New Roman" w:hAnsi="Times New Roman"/>
          <w:color w:val="00B0F0"/>
          <w:sz w:val="24"/>
          <w:szCs w:val="24"/>
        </w:rPr>
      </w:pPr>
      <w:bookmarkStart w:id="3" w:name="_Toc64992771"/>
      <w:r>
        <w:rPr>
          <w:rFonts w:hint="default" w:ascii="Times New Roman" w:hAnsi="Times New Roman"/>
          <w:color w:val="00B0F0"/>
          <w:sz w:val="24"/>
          <w:szCs w:val="24"/>
        </w:rPr>
        <w:t>Cash Budget</w:t>
      </w:r>
      <w:bookmarkEnd w:id="3"/>
    </w:p>
    <w:tbl>
      <w:tblPr>
        <w:tblStyle w:val="4"/>
        <w:tblW w:w="5000" w:type="pct"/>
        <w:tblInd w:w="0" w:type="dxa"/>
        <w:tblLayout w:type="autofit"/>
        <w:tblCellMar>
          <w:top w:w="0" w:type="dxa"/>
          <w:left w:w="108" w:type="dxa"/>
          <w:bottom w:w="0" w:type="dxa"/>
          <w:right w:w="108" w:type="dxa"/>
        </w:tblCellMar>
      </w:tblPr>
      <w:tblGrid>
        <w:gridCol w:w="3671"/>
        <w:gridCol w:w="1435"/>
        <w:gridCol w:w="1104"/>
        <w:gridCol w:w="1104"/>
        <w:gridCol w:w="1208"/>
      </w:tblGrid>
      <w:tr>
        <w:tblPrEx>
          <w:tblCellMar>
            <w:top w:w="0" w:type="dxa"/>
            <w:left w:w="108" w:type="dxa"/>
            <w:bottom w:w="0" w:type="dxa"/>
            <w:right w:w="108" w:type="dxa"/>
          </w:tblCellMar>
        </w:tblPrEx>
        <w:trPr>
          <w:trHeight w:val="288" w:hRule="atLeast"/>
        </w:trPr>
        <w:tc>
          <w:tcPr>
            <w:tcW w:w="5000"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Vera's Vegan Diner</w:t>
            </w:r>
          </w:p>
        </w:tc>
      </w:tr>
      <w:tr>
        <w:tblPrEx>
          <w:tblCellMar>
            <w:top w:w="0" w:type="dxa"/>
            <w:left w:w="108" w:type="dxa"/>
            <w:bottom w:w="0" w:type="dxa"/>
            <w:right w:w="108" w:type="dxa"/>
          </w:tblCellMar>
        </w:tblPrEx>
        <w:trPr>
          <w:trHeight w:val="312" w:hRule="atLeast"/>
        </w:trPr>
        <w:tc>
          <w:tcPr>
            <w:tcW w:w="5000" w:type="pct"/>
            <w:gridSpan w:val="5"/>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Cash Budget for the three months ended April 2020 (£)</w:t>
            </w: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Particulars</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February</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 xml:space="preserve">March </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April</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Total</w:t>
            </w: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Cash Inflows</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Income from Party Catering</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6,080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8,040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3,340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17,460</w:t>
            </w: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Income from Food and Drink</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48,000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52,600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50,800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151,400</w:t>
            </w:r>
          </w:p>
        </w:tc>
      </w:tr>
      <w:tr>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Total Cash Inflow</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54,080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60,640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54,140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168,860</w:t>
            </w: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Cash Outflows</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color w:val="000000"/>
                <w:sz w:val="24"/>
                <w:szCs w:val="24"/>
              </w:rPr>
            </w:pP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Food and Drink Purchases</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17,500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19,200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21,600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58,300</w:t>
            </w: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Wages</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13,500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15,000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11,500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40,000</w:t>
            </w:r>
          </w:p>
        </w:tc>
      </w:tr>
      <w:tr>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Overhead</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14,000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14,000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15,500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43,500</w:t>
            </w:r>
          </w:p>
        </w:tc>
      </w:tr>
      <w:tr>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Kitchen Equipment</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42,000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18,000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color w:val="000000"/>
                <w:sz w:val="24"/>
                <w:szCs w:val="24"/>
              </w:rPr>
            </w:pPr>
            <w:r>
              <w:rPr>
                <w:rFonts w:ascii="Times New Roman" w:hAnsi="Times New Roman" w:eastAsia="SimSun" w:cs="Times New Roman"/>
                <w:color w:val="000000"/>
                <w:sz w:val="24"/>
                <w:szCs w:val="24"/>
              </w:rPr>
              <w:t>60,000</w:t>
            </w: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Total Cash Outflow</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87,000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66,200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48,600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201,800</w:t>
            </w:r>
          </w:p>
        </w:tc>
      </w:tr>
      <w:tr>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Net Cash Flow</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(32,920)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(5,560)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5,540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0</w:t>
            </w:r>
          </w:p>
        </w:tc>
      </w:tr>
      <w:tr>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Opening Balance</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35,500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2,580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(2,980)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b/>
                <w:bCs/>
                <w:color w:val="000000"/>
                <w:sz w:val="24"/>
                <w:szCs w:val="24"/>
              </w:rPr>
            </w:pPr>
          </w:p>
        </w:tc>
      </w:tr>
      <w:tr>
        <w:tblPrEx>
          <w:tblCellMar>
            <w:top w:w="0" w:type="dxa"/>
            <w:left w:w="108" w:type="dxa"/>
            <w:bottom w:w="0" w:type="dxa"/>
            <w:right w:w="108" w:type="dxa"/>
          </w:tblCellMar>
        </w:tblPrEx>
        <w:trPr>
          <w:trHeight w:val="312" w:hRule="atLeast"/>
        </w:trPr>
        <w:tc>
          <w:tcPr>
            <w:tcW w:w="215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Closing Balance</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2,580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(2,980)</w:t>
            </w:r>
          </w:p>
        </w:tc>
        <w:tc>
          <w:tcPr>
            <w:tcW w:w="64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textAlignment w:val="bottom"/>
              <w:rPr>
                <w:rFonts w:ascii="Times New Roman" w:hAnsi="Times New Roman" w:cs="Times New Roman"/>
                <w:b/>
                <w:bCs/>
                <w:color w:val="000000"/>
                <w:sz w:val="24"/>
                <w:szCs w:val="24"/>
              </w:rPr>
            </w:pPr>
            <w:r>
              <w:rPr>
                <w:rFonts w:ascii="Times New Roman" w:hAnsi="Times New Roman" w:eastAsia="SimSun" w:cs="Times New Roman"/>
                <w:b/>
                <w:bCs/>
                <w:color w:val="000000"/>
                <w:sz w:val="24"/>
                <w:szCs w:val="24"/>
              </w:rPr>
              <w:t>2,560</w:t>
            </w:r>
          </w:p>
        </w:tc>
        <w:tc>
          <w:tcPr>
            <w:tcW w:w="70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ascii="Times New Roman" w:hAnsi="Times New Roman" w:cs="Times New Roman"/>
                <w:b/>
                <w:bCs/>
                <w:color w:val="000000"/>
                <w:sz w:val="24"/>
                <w:szCs w:val="24"/>
              </w:rPr>
            </w:pPr>
          </w:p>
        </w:tc>
      </w:tr>
    </w:tbl>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4572635" cy="2742565"/>
            <wp:effectExtent l="0" t="0" r="14605" b="635"/>
            <wp:docPr id="103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2"/>
        <w:spacing w:beforeAutospacing="0" w:afterAutospacing="0" w:line="480" w:lineRule="auto"/>
        <w:jc w:val="both"/>
        <w:rPr>
          <w:rFonts w:hint="default" w:ascii="Times New Roman" w:hAnsi="Times New Roman"/>
          <w:sz w:val="24"/>
          <w:szCs w:val="24"/>
        </w:rPr>
      </w:pPr>
      <w:bookmarkStart w:id="4" w:name="_Toc64992772"/>
    </w:p>
    <w:p>
      <w:pPr>
        <w:pStyle w:val="2"/>
        <w:spacing w:beforeAutospacing="0" w:afterAutospacing="0" w:line="480" w:lineRule="auto"/>
        <w:jc w:val="both"/>
        <w:rPr>
          <w:rFonts w:hint="default" w:ascii="Times New Roman" w:hAnsi="Times New Roman"/>
          <w:color w:val="00B0F0"/>
          <w:sz w:val="24"/>
          <w:szCs w:val="24"/>
        </w:rPr>
      </w:pPr>
      <w:r>
        <w:rPr>
          <w:rFonts w:hint="default" w:ascii="Times New Roman" w:hAnsi="Times New Roman"/>
          <w:color w:val="00B0F0"/>
          <w:sz w:val="24"/>
          <w:szCs w:val="24"/>
        </w:rPr>
        <w:t>Observation of the findings</w:t>
      </w:r>
      <w:bookmarkEnd w:id="4"/>
    </w:p>
    <w:p>
      <w:pPr>
        <w:spacing w:line="480" w:lineRule="auto"/>
        <w:ind w:firstLine="720"/>
        <w:jc w:val="both"/>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On the analysis of the statements, it can be said that the financial performance of the company is quite good. However, at the same time, it is also recognised that the cash budget of the company is reflecting negative results. The customers of the company are also closer to its break-even point, which questions the company's financial performance. Additionally, it is also recognised that the sales of the company have decreased by 15% during last financial year as compared to the previous year, which shows that the company is facing difficulty in boosting its revenue and profitability. Overall, the above deficiencies reflect that the financial performance of Vera's Vegan Diner is not well and significant improvements are required for improving such deficiencies.</w:t>
      </w:r>
    </w:p>
    <w:p>
      <w:pPr>
        <w:pStyle w:val="2"/>
        <w:spacing w:beforeAutospacing="0" w:afterAutospacing="0" w:line="480" w:lineRule="auto"/>
        <w:jc w:val="both"/>
        <w:rPr>
          <w:rFonts w:hint="default" w:ascii="Times New Roman" w:hAnsi="Times New Roman"/>
          <w:sz w:val="24"/>
          <w:szCs w:val="24"/>
        </w:rPr>
      </w:pPr>
      <w:bookmarkStart w:id="5" w:name="_Toc64992773"/>
      <w:r>
        <w:rPr>
          <w:rFonts w:hint="default" w:ascii="Times New Roman" w:hAnsi="Times New Roman"/>
          <w:color w:val="00B0F0"/>
          <w:sz w:val="24"/>
          <w:szCs w:val="24"/>
        </w:rPr>
        <w:t>Recommendation</w:t>
      </w:r>
      <w:bookmarkEnd w:id="5"/>
    </w:p>
    <w:p>
      <w:pPr>
        <w:spacing w:line="480" w:lineRule="auto"/>
        <w:ind w:firstLine="720"/>
        <w:jc w:val="both"/>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The company, namely Vera's Vegan Diner, can improve its financial performance by increasing its net cash flows. The company should reduce the receivable settlement period as it will help the company in generating funds at a faster rate. The cash is useful for the company in order to meet business obligations in a satisfactory manner. Additionally, the company should adopt online and offline marketing strategies in order to boost the revenues of the company (Long, 2019). Further, the company should also provide various patronage benefits to its customers, such as discounts and rewards. This will allow the company to retain its customers for a longer period of time and prove beneficial for boosting the company's profitability (Crandall, Crandall and Chen, 2014). Thus, it is recommended to the company that it should adopt the practice of faster collection, effective marketing strategy and provide patronage benefits to its customers in order to improve financial performance.</w:t>
      </w:r>
      <w:r>
        <w:rPr>
          <w:rFonts w:ascii="Times New Roman" w:hAnsi="Times New Roman" w:cs="Times New Roman"/>
          <w:sz w:val="24"/>
          <w:szCs w:val="24"/>
        </w:rPr>
        <w:br w:type="page"/>
      </w:r>
    </w:p>
    <w:p>
      <w:pPr>
        <w:pStyle w:val="2"/>
        <w:spacing w:beforeAutospacing="0" w:afterAutospacing="0" w:line="480" w:lineRule="auto"/>
        <w:jc w:val="both"/>
        <w:rPr>
          <w:rFonts w:hint="default" w:ascii="Times New Roman" w:hAnsi="Times New Roman"/>
          <w:sz w:val="24"/>
          <w:szCs w:val="24"/>
        </w:rPr>
      </w:pPr>
      <w:bookmarkStart w:id="6" w:name="_Toc64992774"/>
      <w:r>
        <w:rPr>
          <w:rFonts w:hint="default" w:ascii="Times New Roman" w:hAnsi="Times New Roman"/>
          <w:color w:val="00B0F0"/>
          <w:sz w:val="24"/>
          <w:szCs w:val="24"/>
        </w:rPr>
        <w:t>References</w:t>
      </w:r>
      <w:bookmarkEnd w:id="6"/>
    </w:p>
    <w:p>
      <w:pPr>
        <w:spacing w:line="480" w:lineRule="auto"/>
        <w:ind w:left="720" w:hanging="720" w:hangingChars="300"/>
        <w:jc w:val="both"/>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 xml:space="preserve">Crandall, R.E., Crandall, W.R. and Chen, C.C. (2014). </w:t>
      </w:r>
      <w:r>
        <w:rPr>
          <w:rFonts w:ascii="Times New Roman" w:hAnsi="Times New Roman" w:eastAsia="SimSun" w:cs="Times New Roman"/>
          <w:i/>
          <w:iCs/>
          <w:color w:val="222222"/>
          <w:sz w:val="24"/>
          <w:szCs w:val="24"/>
          <w:shd w:val="clear" w:color="auto" w:fill="FFFFFF"/>
        </w:rPr>
        <w:t xml:space="preserve">Principles of Supply Chain Management. </w:t>
      </w:r>
      <w:r>
        <w:rPr>
          <w:rFonts w:ascii="Times New Roman" w:hAnsi="Times New Roman" w:eastAsia="SimSun" w:cs="Times New Roman"/>
          <w:color w:val="222222"/>
          <w:sz w:val="24"/>
          <w:szCs w:val="24"/>
          <w:shd w:val="clear" w:color="auto" w:fill="FFFFFF"/>
        </w:rPr>
        <w:t xml:space="preserve">Florida: CRC Press. </w:t>
      </w:r>
    </w:p>
    <w:p>
      <w:pPr>
        <w:spacing w:line="480" w:lineRule="auto"/>
        <w:ind w:left="720" w:hanging="720" w:hangingChars="300"/>
        <w:jc w:val="both"/>
        <w:rPr>
          <w:rFonts w:ascii="Times New Roman" w:hAnsi="Times New Roman" w:cs="Times New Roman"/>
          <w:sz w:val="24"/>
          <w:szCs w:val="24"/>
        </w:rPr>
      </w:pPr>
      <w:r>
        <w:rPr>
          <w:rFonts w:ascii="Times New Roman" w:hAnsi="Times New Roman" w:cs="Times New Roman"/>
          <w:sz w:val="24"/>
          <w:szCs w:val="24"/>
        </w:rPr>
        <w:t xml:space="preserve">Long, J.M. (2019). </w:t>
      </w:r>
      <w:r>
        <w:rPr>
          <w:rFonts w:ascii="Times New Roman" w:hAnsi="Times New Roman" w:cs="Times New Roman"/>
          <w:i/>
          <w:iCs/>
          <w:sz w:val="24"/>
          <w:szCs w:val="24"/>
        </w:rPr>
        <w:t xml:space="preserve">Management and Leadership Skills that Affect Small Business Survival: A Resource Guide for Small Businesses Everywhere. </w:t>
      </w:r>
      <w:r>
        <w:rPr>
          <w:rFonts w:ascii="Times New Roman" w:hAnsi="Times New Roman" w:cs="Times New Roman"/>
          <w:sz w:val="24"/>
          <w:szCs w:val="24"/>
        </w:rPr>
        <w:t>New York: Anthem Press.</w:t>
      </w:r>
    </w:p>
    <w:sectPr>
      <w:footerReference r:id="rId3" w:type="default"/>
      <w:pgSz w:w="11906" w:h="16838"/>
      <w:pgMar w:top="1440" w:right="1800" w:bottom="1440" w:left="1800" w:header="720" w:footer="720" w:gutter="0"/>
      <w:pgBorders w:display="firstPage"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ED1"/>
    <w:rsid w:val="00147161"/>
    <w:rsid w:val="002236F0"/>
    <w:rsid w:val="00D54ED1"/>
    <w:rsid w:val="311F2722"/>
    <w:rsid w:val="43F44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uiPriority w:val="0"/>
    <w:rPr>
      <w:rFonts w:ascii="Tahoma" w:hAnsi="Tahoma" w:cs="Tahoma"/>
      <w:sz w:val="16"/>
      <w:szCs w:val="16"/>
    </w:rPr>
  </w:style>
  <w:style w:type="paragraph" w:styleId="6">
    <w:name w:val="footer"/>
    <w:basedOn w:val="1"/>
    <w:uiPriority w:val="0"/>
    <w:pPr>
      <w:tabs>
        <w:tab w:val="center" w:pos="4153"/>
        <w:tab w:val="right" w:pos="8306"/>
      </w:tabs>
      <w:snapToGrid w:val="0"/>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nhideWhenUsed/>
    <w:uiPriority w:val="99"/>
    <w:rPr>
      <w:color w:val="0563C1" w:themeColor="hyperlink"/>
      <w:u w:val="single"/>
      <w14:textFill>
        <w14:solidFill>
          <w14:schemeClr w14:val="hlink"/>
        </w14:solidFill>
      </w14:textFill>
    </w:rPr>
  </w:style>
  <w:style w:type="paragraph" w:styleId="9">
    <w:name w:val="toc 1"/>
    <w:basedOn w:val="1"/>
    <w:next w:val="1"/>
    <w:uiPriority w:val="39"/>
    <w:pPr>
      <w:spacing w:after="100"/>
    </w:pPr>
  </w:style>
  <w:style w:type="paragraph" w:customStyle="1" w:styleId="10">
    <w:name w:val="TOC Heading"/>
    <w:basedOn w:val="2"/>
    <w:next w:val="1"/>
    <w:semiHidden/>
    <w:unhideWhenUsed/>
    <w:qFormat/>
    <w:uiPriority w:val="39"/>
    <w:pPr>
      <w:keepNext/>
      <w:keepLines/>
      <w:spacing w:before="480" w:beforeAutospacing="0" w:afterAutospacing="0" w:line="276" w:lineRule="auto"/>
      <w:outlineLvl w:val="9"/>
    </w:pPr>
    <w:rPr>
      <w:rFonts w:hint="default" w:asciiTheme="majorHAnsi" w:hAnsiTheme="majorHAnsi" w:eastAsiaTheme="majorEastAsia" w:cstheme="majorBidi"/>
      <w:color w:val="2E75B6" w:themeColor="accent1" w:themeShade="BF"/>
      <w:kern w:val="0"/>
      <w:sz w:val="28"/>
      <w:szCs w:val="28"/>
      <w:lang w:eastAsia="ja-JP"/>
    </w:rPr>
  </w:style>
  <w:style w:type="character" w:customStyle="1" w:styleId="11">
    <w:name w:val="Balloon Text Char"/>
    <w:basedOn w:val="3"/>
    <w:link w:val="5"/>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neet%20Sharma\Desktop\230221\AN_230221_V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p>
      </c:txPr>
    </c:title>
    <c:autoTitleDeleted val="0"/>
    <c:plotArea>
      <c:layout/>
      <c:barChart>
        <c:barDir val="col"/>
        <c:grouping val="clustered"/>
        <c:varyColors val="0"/>
        <c:ser>
          <c:idx val="0"/>
          <c:order val="0"/>
          <c:tx>
            <c:strRef>
              <c:f>'[AN_230221_VS.xls]Cash Budget'!$A$14</c:f>
              <c:strCache>
                <c:ptCount val="1"/>
                <c:pt idx="0">
                  <c:v>Net Cash Flow</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lt1">
                          <a:lumMod val="95000"/>
                          <a:alpha val="54000"/>
                        </a:schemeClr>
                      </a:solidFill>
                      <a:prstDash val="solid"/>
                      <a:round/>
                    </a:ln>
                    <a:effectLst/>
                  </c:spPr>
                </c15:leaderLines>
              </c:ext>
            </c:extLst>
          </c:dLbls>
          <c:cat>
            <c:strRef>
              <c:f>'[AN_230221_VS.xls]Cash Budget'!$B$3:$D$3</c:f>
              <c:strCache>
                <c:ptCount val="3"/>
                <c:pt idx="0">
                  <c:v>February</c:v>
                </c:pt>
                <c:pt idx="1">
                  <c:v>March </c:v>
                </c:pt>
                <c:pt idx="2">
                  <c:v>April</c:v>
                </c:pt>
              </c:strCache>
            </c:strRef>
          </c:cat>
          <c:val>
            <c:numRef>
              <c:f>'[AN_230221_VS.xls]Cash Budget'!$B$14:$D$14</c:f>
              <c:numCache>
                <c:formatCode>#,##0;\(#,##0\)</c:formatCode>
                <c:ptCount val="3"/>
                <c:pt idx="0">
                  <c:v>-32920</c:v>
                </c:pt>
                <c:pt idx="1">
                  <c:v>-5560</c:v>
                </c:pt>
                <c:pt idx="2">
                  <c:v>5540</c:v>
                </c:pt>
              </c:numCache>
            </c:numRef>
          </c:val>
        </c:ser>
        <c:dLbls>
          <c:showLegendKey val="0"/>
          <c:showVal val="0"/>
          <c:showCatName val="0"/>
          <c:showSerName val="0"/>
          <c:showPercent val="0"/>
          <c:showBubbleSize val="0"/>
        </c:dLbls>
        <c:gapWidth val="100"/>
        <c:overlap val="-24"/>
        <c:axId val="137920512"/>
        <c:axId val="137922048"/>
      </c:barChart>
      <c:catAx>
        <c:axId val="137920512"/>
        <c:scaling>
          <c:orientation val="minMax"/>
        </c:scaling>
        <c:delete val="0"/>
        <c:axPos val="b"/>
        <c:majorTickMark val="none"/>
        <c:minorTickMark val="none"/>
        <c:tickLblPos val="nextTo"/>
        <c:spPr>
          <a:noFill/>
          <a:ln w="12700" cap="flat" cmpd="sng" algn="ctr">
            <a:solidFill>
              <a:schemeClr val="lt1">
                <a:lumMod val="95000"/>
                <a:alpha val="54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137922048"/>
        <c:crosses val="autoZero"/>
        <c:auto val="1"/>
        <c:lblAlgn val="ctr"/>
        <c:lblOffset val="100"/>
        <c:noMultiLvlLbl val="0"/>
      </c:catAx>
      <c:valAx>
        <c:axId val="137922048"/>
        <c:scaling>
          <c:orientation val="minMax"/>
        </c:scaling>
        <c:delete val="0"/>
        <c:axPos val="l"/>
        <c:majorGridlines>
          <c:spPr>
            <a:ln w="9525" cap="flat" cmpd="sng" algn="ctr">
              <a:solidFill>
                <a:schemeClr val="lt1">
                  <a:lumMod val="95000"/>
                  <a:alpha val="10000"/>
                </a:schemeClr>
              </a:solidFill>
              <a:prstDash val="solid"/>
              <a:round/>
            </a:ln>
            <a:effectLst/>
          </c:spPr>
        </c:majorGridlines>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13792051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w="6350" cap="flat" cmpd="sng" algn="ctr">
      <a:noFill/>
      <a:prstDash val="solid"/>
      <a:round/>
    </a:ln>
    <a:effectLst/>
  </c:spPr>
  <c:txPr>
    <a:bodyPr wrap="square"/>
    <a:lstStyle/>
    <a:p>
      <a:pPr>
        <a:defRPr lang="en-US"/>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438E6D-F304-4E58-9105-9998E39174EB}">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783</Words>
  <Characters>4469</Characters>
  <DocSecurity>0</DocSecurity>
  <Lines>37</Lines>
  <Paragraphs>10</Paragraphs>
  <ScaleCrop>false</ScaleCrop>
  <LinksUpToDate>false</LinksUpToDate>
  <CharactersWithSpaces>5242</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2021-02-23T11:21:00Z</dcterms:created>
  <dcterms:modified xsi:type="dcterms:W3CDTF">2021-02-23T11:48:54Z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