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i w:val="0"/>
          <w:color w:val="00B294"/>
          <w:sz w:val="19"/>
        </w:rPr>
        <w:t>BUSINESS WHITE PAPER &amp; USER GUIDE</w:t>
      </w:r>
    </w:p>
    <w:p>
      <w:pPr>
        <w:spacing w:before="0" w:after="120"/>
      </w:pPr>
      <w:r>
        <w:rPr>
          <w:rFonts w:ascii="Calibri Light" w:hAnsi="Calibri Light"/>
          <w:b/>
          <w:i w:val="0"/>
          <w:color w:val="0078D4"/>
          <w:sz w:val="52"/>
        </w:rPr>
        <w:t>Azure Cloud Security Assessment (CSPA) Portal</w:t>
      </w:r>
    </w:p>
    <w:p>
      <w:pPr>
        <w:spacing w:before="0" w:after="480"/>
      </w:pPr>
      <w:r>
        <w:rPr>
          <w:rFonts w:ascii="Calibri" w:hAnsi="Calibri"/>
          <w:b w:val="0"/>
          <w:i/>
          <w:color w:val="787878"/>
          <w:sz w:val="26"/>
        </w:rPr>
        <w:t>A Comprehensive Business Guide &amp; Market Analysis for Enterprise Stakeholders</w:t>
      </w:r>
    </w:p>
    <w:tbl>
      <w:tblPr>
        <w:tblW w:type="auto" w:w="0"/>
        <w:tblLook w:firstColumn="1" w:firstRow="1" w:lastColumn="0" w:lastRow="0" w:noHBand="0" w:noVBand="1" w:val="04A0"/>
      </w:tblPr>
      <w:tblGrid>
        <w:gridCol w:w="9360"/>
      </w:tblGrid>
      <w:tr>
        <w:tc>
          <w:tcPr>
            <w:tcW w:type="dxa" w:w="9360"/>
            <w:shd w:fill="0078D4"/>
          </w:tcPr>
          <w:p>
            <w:pPr>
              <w:spacing w:before="0" w:after="0"/>
            </w:pPr>
          </w:p>
        </w:tc>
      </w:tr>
    </w:tbl>
    <w:p>
      <w:pPr>
        <w:spacing w:before="480" w:after="240"/>
      </w:pPr>
    </w:p>
    <w:p>
      <w:pPr>
        <w:keepNext/>
        <w:spacing w:before="360" w:after="120"/>
      </w:pPr>
      <w:r>
        <w:rPr>
          <w:rFonts w:ascii="Calibri Light" w:hAnsi="Calibri Light"/>
          <w:b/>
          <w:i w:val="0"/>
          <w:color w:val="0078D4"/>
          <w:sz w:val="36"/>
        </w:rPr>
        <w:t>1. Executive Summary</w:t>
      </w:r>
    </w:p>
    <w:p>
      <w:pPr>
        <w:spacing w:after="120" w:line="276" w:lineRule="auto"/>
      </w:pPr>
      <w:r>
        <w:rPr>
          <w:rFonts w:ascii="Calibri" w:hAnsi="Calibri"/>
          <w:b w:val="0"/>
          <w:i w:val="0"/>
          <w:color w:val="2B2B2B"/>
          <w:sz w:val="22"/>
        </w:rPr>
        <w:t>As organizations migrate workloads to Microsoft Azure, maintaining a secure and compliant cloud infrastructure has become a primary business objective. However, traditional security auditing is slow, manual, complex, and frequently requires third-party consultants accessing sensitive systems. The Cloud Security Posture Assessment (CSPA) Portal is designed to address these pain points. Built by Meridian Solutions, it provides an automated, client-side executed security scanner that audits Azure subscriptions across identity, compute, network, storage, and logging services, generating high-fidelity HTML reports in minutes without compromising security boundaries.</w:t>
      </w:r>
    </w:p>
    <w:p>
      <w:pPr>
        <w:keepNext/>
        <w:spacing w:before="360" w:after="120"/>
      </w:pPr>
      <w:r>
        <w:rPr>
          <w:rFonts w:ascii="Calibri Light" w:hAnsi="Calibri Light"/>
          <w:b/>
          <w:i w:val="0"/>
          <w:color w:val="0078D4"/>
          <w:sz w:val="36"/>
        </w:rPr>
        <w:t>2. What is the CSPA-Portal?</w:t>
      </w:r>
    </w:p>
    <w:p>
      <w:pPr>
        <w:spacing w:after="120" w:line="276" w:lineRule="auto"/>
      </w:pPr>
      <w:r>
        <w:rPr>
          <w:rFonts w:ascii="Calibri" w:hAnsi="Calibri"/>
          <w:b w:val="0"/>
          <w:i w:val="0"/>
          <w:color w:val="2B2B2B"/>
          <w:sz w:val="22"/>
        </w:rPr>
        <w:t>The CSPA-Portal is a lightweight, zero-footprint web application that acts as an orchestration dashboard. Instead of asking clients to install monitoring agents, provision service accounts, or share access keys, the portal generates single-line, copy-pasteable PowerShell commands. These commands are executed by the user natively inside the Microsoft Azure Cloud Shell—a secure, authenticated command-line environment provided by Microsoft within the user's web browser.</w:t>
      </w:r>
    </w:p>
    <w:p>
      <w:pPr>
        <w:spacing w:after="120" w:line="276" w:lineRule="auto"/>
      </w:pPr>
      <w:r>
        <w:rPr>
          <w:rFonts w:ascii="Calibri" w:hAnsi="Calibri"/>
          <w:b w:val="0"/>
          <w:i w:val="0"/>
          <w:color w:val="2B2B2B"/>
          <w:sz w:val="22"/>
        </w:rPr>
        <w:t>Upon execution, the scripts audit the target subscription, compile the findings, evaluate them against industry best practices (such as the CIS Microsoft Azure Foundations Benchmark), and automatically download a professional, interactive, and color-coded security report directly to the user's machine.</w:t>
      </w:r>
    </w:p>
    <w:tbl>
      <w:tblPr>
        <w:tblW w:type="auto" w:w="0"/>
        <w:jc w:val="center"/>
        <w:tblLook w:firstColumn="1" w:firstRow="1" w:lastColumn="0" w:lastRow="0" w:noHBand="0" w:noVBand="1" w:val="04A0"/>
      </w:tblPr>
      <w:tblGrid>
        <w:gridCol w:w="9360"/>
      </w:tblGrid>
      <w:tr>
        <w:tc>
          <w:tcPr>
            <w:tcW w:type="dxa" w:w="9360"/>
            <w:shd w:fill="F5F7FA"/>
            <w:tcBorders>
              <w:top w:val="none"/>
              <w:left w:val="single" w:sz="24" w:space="0" w:color="0078D4"/>
              <w:bottom w:val="none"/>
              <w:right w:val="none"/>
            </w:tcBorders>
            <w:tcMar>
              <w:top w:w="140" w:type="dxa"/>
              <w:bottom w:w="140" w:type="dxa"/>
              <w:left w:w="200" w:type="dxa"/>
              <w:right w:w="200" w:type="dxa"/>
            </w:tcMar>
          </w:tcPr>
          <w:p>
            <w:pPr>
              <w:spacing w:after="0" w:line="276" w:lineRule="auto"/>
            </w:pPr>
            <w:r>
              <w:rPr>
                <w:rFonts w:ascii="Calibri" w:hAnsi="Calibri"/>
                <w:b/>
                <w:i w:val="0"/>
                <w:color w:val="0078D4"/>
                <w:sz w:val="22"/>
              </w:rPr>
              <w:t>Security &amp; Privacy Highlight</w:t>
              <w:br/>
            </w:r>
            <w:r>
              <w:rPr>
                <w:rFonts w:ascii="Calibri" w:hAnsi="Calibri"/>
                <w:b w:val="0"/>
                <w:i/>
                <w:color w:val="2B2B2B"/>
                <w:sz w:val="21"/>
              </w:rPr>
              <w:t>Zero-Data-Leak Architecture: Because the scripts execute entirely inside the customer's own browser session in the Azure Cloud Shell, no security credentials, resource metadata, or compliance findings are transmitted to external servers. The assessment is 100% private and runs fully client-side.</w:t>
            </w:r>
          </w:p>
        </w:tc>
      </w:tr>
    </w:tbl>
    <w:p>
      <w:pPr>
        <w:spacing w:before="0" w:after="120"/>
      </w:pPr>
    </w:p>
    <w:p>
      <w:pPr>
        <w:keepNext/>
        <w:spacing w:before="360" w:after="120"/>
      </w:pPr>
      <w:r>
        <w:rPr>
          <w:rFonts w:ascii="Calibri Light" w:hAnsi="Calibri Light"/>
          <w:b/>
          <w:i w:val="0"/>
          <w:color w:val="0078D4"/>
          <w:sz w:val="36"/>
        </w:rPr>
        <w:t>3. Why This Tool is Critically Important</w:t>
      </w:r>
    </w:p>
    <w:p>
      <w:pPr>
        <w:spacing w:after="120" w:line="276" w:lineRule="auto"/>
      </w:pPr>
      <w:r>
        <w:rPr>
          <w:rFonts w:ascii="Calibri" w:hAnsi="Calibri"/>
          <w:b w:val="0"/>
          <w:i w:val="0"/>
          <w:color w:val="2B2B2B"/>
          <w:sz w:val="22"/>
        </w:rPr>
        <w:t>Cloud misconfigurations are the leading cause of data breaches, ransomware infections, and compliance failures. Organizations face significant challenges in securing their environments:</w:t>
      </w:r>
    </w:p>
    <w:p>
      <w:pPr>
        <w:pStyle w:val="ListBullet"/>
        <w:spacing w:after="60" w:line="276" w:lineRule="auto"/>
      </w:pPr>
      <w:r>
        <w:rPr>
          <w:rFonts w:ascii="Calibri" w:hAnsi="Calibri"/>
          <w:b/>
          <w:i w:val="0"/>
          <w:color w:val="2B2B2B"/>
          <w:sz w:val="22"/>
        </w:rPr>
        <w:t xml:space="preserve">Costly &amp; Slow Audits: </w:t>
      </w:r>
      <w:r>
        <w:rPr>
          <w:rFonts w:ascii="Calibri" w:hAnsi="Calibri"/>
          <w:b w:val="0"/>
          <w:i w:val="0"/>
          <w:color w:val="2B2B2B"/>
          <w:sz w:val="22"/>
        </w:rPr>
        <w:t>Traditional cloud audits take days or weeks of consultant interviews and manual portal inspections, costing thousands of dollars.</w:t>
      </w:r>
    </w:p>
    <w:p>
      <w:pPr>
        <w:pStyle w:val="ListBullet"/>
        <w:spacing w:after="60" w:line="276" w:lineRule="auto"/>
      </w:pPr>
      <w:r>
        <w:rPr>
          <w:rFonts w:ascii="Calibri" w:hAnsi="Calibri"/>
          <w:b/>
          <w:i w:val="0"/>
          <w:color w:val="2B2B2B"/>
          <w:sz w:val="22"/>
        </w:rPr>
        <w:t xml:space="preserve">Continuous Drift: </w:t>
      </w:r>
      <w:r>
        <w:rPr>
          <w:rFonts w:ascii="Calibri" w:hAnsi="Calibri"/>
          <w:b w:val="0"/>
          <w:i w:val="0"/>
          <w:color w:val="2B2B2B"/>
          <w:sz w:val="22"/>
        </w:rPr>
        <w:t>Dynamic cloud environments change daily, rendering static, annual point-in-time security audits immediately obsolete.</w:t>
      </w:r>
    </w:p>
    <w:p>
      <w:pPr>
        <w:pStyle w:val="ListBullet"/>
        <w:spacing w:after="60" w:line="276" w:lineRule="auto"/>
      </w:pPr>
      <w:r>
        <w:rPr>
          <w:rFonts w:ascii="Calibri" w:hAnsi="Calibri"/>
          <w:b/>
          <w:i w:val="0"/>
          <w:color w:val="2B2B2B"/>
          <w:sz w:val="22"/>
        </w:rPr>
        <w:t xml:space="preserve">Credential Exposure: </w:t>
      </w:r>
      <w:r>
        <w:rPr>
          <w:rFonts w:ascii="Calibri" w:hAnsi="Calibri"/>
          <w:b w:val="0"/>
          <w:i w:val="0"/>
          <w:color w:val="2B2B2B"/>
          <w:sz w:val="22"/>
        </w:rPr>
        <w:t>Granting external parties 'Reader' or 'Contributor' access to run security tools introduces significant security and compliance risks.</w:t>
      </w:r>
    </w:p>
    <w:p>
      <w:pPr>
        <w:pStyle w:val="ListBullet"/>
        <w:spacing w:after="60" w:line="276" w:lineRule="auto"/>
      </w:pPr>
      <w:r>
        <w:rPr>
          <w:rFonts w:ascii="Calibri" w:hAnsi="Calibri"/>
          <w:b/>
          <w:i w:val="0"/>
          <w:color w:val="2B2B2B"/>
          <w:sz w:val="22"/>
        </w:rPr>
        <w:t xml:space="preserve">Complexity &amp; Overhead: </w:t>
      </w:r>
      <w:r>
        <w:rPr>
          <w:rFonts w:ascii="Calibri" w:hAnsi="Calibri"/>
          <w:b w:val="0"/>
          <w:i w:val="0"/>
          <w:color w:val="2B2B2B"/>
          <w:sz w:val="22"/>
        </w:rPr>
        <w:t>Enterprise Cloud Security Posture Management (CSPM) software requires complex multi-tenant onboarding, ongoing API licensing, and long integration periods.</w:t>
      </w:r>
    </w:p>
    <w:p>
      <w:pPr>
        <w:spacing w:after="120" w:line="276" w:lineRule="auto"/>
      </w:pPr>
      <w:r>
        <w:rPr>
          <w:rFonts w:ascii="Calibri" w:hAnsi="Calibri"/>
          <w:b w:val="0"/>
          <w:i w:val="0"/>
          <w:color w:val="2B2B2B"/>
          <w:sz w:val="22"/>
        </w:rPr>
        <w:t>The CSPA-Portal resolves these barriers. It enables an IT manager, risk officer, or external consultant to evaluate an entire Azure subscription's security posture in under five minutes with zero prior setup.</w:t>
      </w:r>
    </w:p>
    <w:p>
      <w:pPr>
        <w:keepNext/>
        <w:spacing w:before="360" w:after="120"/>
      </w:pPr>
      <w:r>
        <w:rPr>
          <w:rFonts w:ascii="Calibri Light" w:hAnsi="Calibri Light"/>
          <w:b/>
          <w:i w:val="0"/>
          <w:color w:val="0078D4"/>
          <w:sz w:val="36"/>
        </w:rPr>
        <w:t>4. How to Use the Portal (Step-by-Step)</w:t>
      </w:r>
    </w:p>
    <w:p>
      <w:pPr>
        <w:spacing w:after="120" w:line="276" w:lineRule="auto"/>
      </w:pPr>
      <w:r>
        <w:rPr>
          <w:rFonts w:ascii="Calibri" w:hAnsi="Calibri"/>
          <w:b w:val="0"/>
          <w:i w:val="0"/>
          <w:color w:val="2B2B2B"/>
          <w:sz w:val="22"/>
        </w:rPr>
        <w:t>Using the CSPA-Portal involves a simple four-step workflow requiring no technical or programming expertise:</w:t>
      </w:r>
    </w:p>
    <w:p>
      <w:pPr>
        <w:pStyle w:val="ListBullet"/>
        <w:spacing w:after="60" w:line="276" w:lineRule="auto"/>
      </w:pPr>
      <w:r>
        <w:rPr>
          <w:rFonts w:ascii="Calibri" w:hAnsi="Calibri"/>
          <w:b/>
          <w:i w:val="0"/>
          <w:color w:val="2B2B2B"/>
          <w:sz w:val="22"/>
        </w:rPr>
        <w:t xml:space="preserve">Step 1: Select Assessment Checklist. </w:t>
      </w:r>
      <w:r>
        <w:rPr>
          <w:rFonts w:ascii="Calibri" w:hAnsi="Calibri"/>
          <w:b w:val="0"/>
          <w:i w:val="0"/>
          <w:color w:val="2B2B2B"/>
          <w:sz w:val="22"/>
        </w:rPr>
        <w:t>The user navigates to the portal dashboard and selects one of the specific security cards (e.g., Network Security, Storage Security, or Compute Audit).</w:t>
      </w:r>
    </w:p>
    <w:p>
      <w:pPr>
        <w:pStyle w:val="ListBullet"/>
        <w:spacing w:after="60" w:line="276" w:lineRule="auto"/>
      </w:pPr>
      <w:r>
        <w:rPr>
          <w:rFonts w:ascii="Calibri" w:hAnsi="Calibri"/>
          <w:b/>
          <w:i w:val="0"/>
          <w:color w:val="2B2B2B"/>
          <w:sz w:val="22"/>
        </w:rPr>
        <w:t xml:space="preserve">Step 2: Copy Generated Command. </w:t>
      </w:r>
      <w:r>
        <w:rPr>
          <w:rFonts w:ascii="Calibri" w:hAnsi="Calibri"/>
          <w:b w:val="0"/>
          <w:i w:val="0"/>
          <w:color w:val="2B2B2B"/>
          <w:sz w:val="22"/>
        </w:rPr>
        <w:t>The portal generates a custom PowerShell script invocation command. The user clicks the 'Copy' button to save the command to their clipboard.</w:t>
      </w:r>
    </w:p>
    <w:p>
      <w:pPr>
        <w:pStyle w:val="ListBullet"/>
        <w:spacing w:after="60" w:line="276" w:lineRule="auto"/>
      </w:pPr>
      <w:r>
        <w:rPr>
          <w:rFonts w:ascii="Calibri" w:hAnsi="Calibri"/>
          <w:b/>
          <w:i w:val="0"/>
          <w:color w:val="2B2B2B"/>
          <w:sz w:val="22"/>
        </w:rPr>
        <w:t xml:space="preserve">Step 3: Execute in Cloud Shell. </w:t>
      </w:r>
      <w:r>
        <w:rPr>
          <w:rFonts w:ascii="Calibri" w:hAnsi="Calibri"/>
          <w:b w:val="0"/>
          <w:i w:val="0"/>
          <w:color w:val="2B2B2B"/>
          <w:sz w:val="22"/>
        </w:rPr>
        <w:t>The user clicks the 'Open Azure Cloud Shell' button on the portal. This opens a new browser tab directly into the official Azure Portal. The user logs in and pastes the copied command into the shell, pressing Enter.</w:t>
      </w:r>
    </w:p>
    <w:p>
      <w:pPr>
        <w:pStyle w:val="ListBullet"/>
        <w:spacing w:after="60" w:line="276" w:lineRule="auto"/>
      </w:pPr>
      <w:r>
        <w:rPr>
          <w:rFonts w:ascii="Calibri" w:hAnsi="Calibri"/>
          <w:b/>
          <w:i w:val="0"/>
          <w:color w:val="2B2B2B"/>
          <w:sz w:val="22"/>
        </w:rPr>
        <w:t xml:space="preserve">Step 4: Automatic Download. </w:t>
      </w:r>
      <w:r>
        <w:rPr>
          <w:rFonts w:ascii="Calibri" w:hAnsi="Calibri"/>
          <w:b w:val="0"/>
          <w:i w:val="0"/>
          <w:color w:val="2B2B2B"/>
          <w:sz w:val="22"/>
        </w:rPr>
        <w:t>The PowerShell script executes, connects securely to the Azure Resource Manager API using the user's active session, runs the checks, formats the results into a self-contained HTML file, and downloads the report to the user's local machine automatically.</w:t>
      </w:r>
    </w:p>
    <w:p>
      <w:pPr>
        <w:keepNext/>
        <w:spacing w:before="280" w:after="80"/>
      </w:pPr>
      <w:r>
        <w:rPr>
          <w:rFonts w:ascii="Calibri Light" w:hAnsi="Calibri Light"/>
          <w:b/>
          <w:i w:val="0"/>
          <w:color w:val="00B294"/>
          <w:sz w:val="28"/>
        </w:rPr>
        <w:t>Interactive AI Security Assistant</w:t>
      </w:r>
    </w:p>
    <w:p>
      <w:pPr>
        <w:spacing w:after="120" w:line="276" w:lineRule="auto"/>
      </w:pPr>
      <w:r>
        <w:rPr>
          <w:rFonts w:ascii="Calibri" w:hAnsi="Calibri"/>
          <w:b w:val="0"/>
          <w:i w:val="0"/>
          <w:color w:val="2B2B2B"/>
          <w:sz w:val="22"/>
        </w:rPr>
        <w:t>For additional guidance, the portal incorporates a built-in AI Security Assistant (powered by Groq AI). Users can ask the chatbot questions such as 'Which audit should I run first?' or 'What does the Storage Audit check?'. The assistant is programmatically restricted from disclosing proprietary script code, keeping the core technology safe while providing a friendly guidance interface for non-technical users.</w:t>
      </w:r>
    </w:p>
    <w:p>
      <w:pPr>
        <w:keepNext/>
        <w:spacing w:before="360" w:after="120"/>
      </w:pPr>
      <w:r>
        <w:rPr>
          <w:rFonts w:ascii="Calibri Light" w:hAnsi="Calibri Light"/>
          <w:b/>
          <w:i w:val="0"/>
          <w:color w:val="0078D4"/>
          <w:sz w:val="36"/>
        </w:rPr>
        <w:t>5. Market Competitors &amp; Analysis</w:t>
      </w:r>
    </w:p>
    <w:p>
      <w:pPr>
        <w:spacing w:after="120" w:line="276" w:lineRule="auto"/>
      </w:pPr>
      <w:r>
        <w:rPr>
          <w:rFonts w:ascii="Calibri" w:hAnsi="Calibri"/>
          <w:b w:val="0"/>
          <w:i w:val="0"/>
          <w:color w:val="2B2B2B"/>
          <w:sz w:val="22"/>
        </w:rPr>
        <w:t>To position the CSPA-Portal, we analyze the current market alternatives across three main categories:</w:t>
      </w:r>
    </w:p>
    <w:p>
      <w:pPr>
        <w:keepNext/>
        <w:spacing w:before="280" w:after="80"/>
      </w:pPr>
      <w:r>
        <w:rPr>
          <w:rFonts w:ascii="Calibri Light" w:hAnsi="Calibri Light"/>
          <w:b/>
          <w:i w:val="0"/>
          <w:color w:val="00B294"/>
          <w:sz w:val="28"/>
        </w:rPr>
        <w:t>Category A: Enterprise CSPM Platforms (Wiz.io, Prisma Cloud, Orca Security)</w:t>
      </w:r>
    </w:p>
    <w:p>
      <w:pPr>
        <w:spacing w:after="120" w:line="276" w:lineRule="auto"/>
      </w:pPr>
      <w:r>
        <w:rPr>
          <w:rFonts w:ascii="Calibri" w:hAnsi="Calibri"/>
          <w:b w:val="0"/>
          <w:i w:val="0"/>
          <w:color w:val="2B2B2B"/>
          <w:sz w:val="22"/>
        </w:rPr>
        <w:t>These are highly advanced SaaS platforms. While powerful, they present significant friction for mid-market businesses or short-term consulting engagements:</w:t>
      </w:r>
    </w:p>
    <w:p>
      <w:pPr>
        <w:pStyle w:val="ListBullet"/>
        <w:spacing w:after="60" w:line="276" w:lineRule="auto"/>
      </w:pPr>
      <w:r>
        <w:rPr>
          <w:rFonts w:ascii="Calibri" w:hAnsi="Calibri"/>
          <w:b/>
          <w:i w:val="0"/>
          <w:color w:val="2B2B2B"/>
          <w:sz w:val="22"/>
        </w:rPr>
        <w:t xml:space="preserve">Friction: </w:t>
      </w:r>
      <w:r>
        <w:rPr>
          <w:rFonts w:ascii="Calibri" w:hAnsi="Calibri"/>
          <w:b w:val="0"/>
          <w:i w:val="0"/>
          <w:color w:val="2B2B2B"/>
          <w:sz w:val="22"/>
        </w:rPr>
        <w:t>Onboarding requires establishing cross-tenant active directory roles, configuring reader permissions, and setting up API connectors.</w:t>
      </w:r>
    </w:p>
    <w:p>
      <w:pPr>
        <w:pStyle w:val="ListBullet"/>
        <w:spacing w:after="60" w:line="276" w:lineRule="auto"/>
      </w:pPr>
      <w:r>
        <w:rPr>
          <w:rFonts w:ascii="Calibri" w:hAnsi="Calibri"/>
          <w:b/>
          <w:i w:val="0"/>
          <w:color w:val="2B2B2B"/>
          <w:sz w:val="22"/>
        </w:rPr>
        <w:t xml:space="preserve">Cost: </w:t>
      </w:r>
      <w:r>
        <w:rPr>
          <w:rFonts w:ascii="Calibri" w:hAnsi="Calibri"/>
          <w:b w:val="0"/>
          <w:i w:val="0"/>
          <w:color w:val="2B2B2B"/>
          <w:sz w:val="22"/>
        </w:rPr>
        <w:t>Pricing starts at tens of thousands of dollars annually, requiring multi-year commitments.</w:t>
      </w:r>
    </w:p>
    <w:p>
      <w:pPr>
        <w:pStyle w:val="ListBullet"/>
        <w:spacing w:after="60" w:line="276" w:lineRule="auto"/>
      </w:pPr>
      <w:r>
        <w:rPr>
          <w:rFonts w:ascii="Calibri" w:hAnsi="Calibri"/>
          <w:b/>
          <w:i w:val="0"/>
          <w:color w:val="2B2B2B"/>
          <w:sz w:val="22"/>
        </w:rPr>
        <w:t xml:space="preserve">Overhead: </w:t>
      </w:r>
      <w:r>
        <w:rPr>
          <w:rFonts w:ascii="Calibri" w:hAnsi="Calibri"/>
          <w:b w:val="0"/>
          <w:i w:val="0"/>
          <w:color w:val="2B2B2B"/>
          <w:sz w:val="22"/>
        </w:rPr>
        <w:t>Requires constant integration and creates another dashboard for teams to monitor.</w:t>
      </w:r>
    </w:p>
    <w:p>
      <w:pPr>
        <w:keepNext/>
        <w:spacing w:before="280" w:after="80"/>
      </w:pPr>
      <w:r>
        <w:rPr>
          <w:rFonts w:ascii="Calibri Light" w:hAnsi="Calibri Light"/>
          <w:b/>
          <w:i w:val="0"/>
          <w:color w:val="00B294"/>
          <w:sz w:val="28"/>
        </w:rPr>
        <w:t>Category B: Native CSPM (Microsoft Defender for Cloud)</w:t>
      </w:r>
    </w:p>
    <w:p>
      <w:pPr>
        <w:spacing w:after="120" w:line="276" w:lineRule="auto"/>
      </w:pPr>
      <w:r>
        <w:rPr>
          <w:rFonts w:ascii="Calibri" w:hAnsi="Calibri"/>
          <w:b w:val="0"/>
          <w:i w:val="0"/>
          <w:color w:val="2B2B2B"/>
          <w:sz w:val="22"/>
        </w:rPr>
        <w:t>Built directly into Azure, Defender for Cloud is the default choice. However:</w:t>
      </w:r>
    </w:p>
    <w:p>
      <w:pPr>
        <w:pStyle w:val="ListBullet"/>
        <w:spacing w:after="60" w:line="276" w:lineRule="auto"/>
      </w:pPr>
      <w:r>
        <w:rPr>
          <w:rFonts w:ascii="Calibri" w:hAnsi="Calibri"/>
          <w:b/>
          <w:i w:val="0"/>
          <w:color w:val="2B2B2B"/>
          <w:sz w:val="22"/>
        </w:rPr>
        <w:t xml:space="preserve">Cost Gating: </w:t>
      </w:r>
      <w:r>
        <w:rPr>
          <w:rFonts w:ascii="Calibri" w:hAnsi="Calibri"/>
          <w:b w:val="0"/>
          <w:i w:val="0"/>
          <w:color w:val="2B2B2B"/>
          <w:sz w:val="22"/>
        </w:rPr>
        <w:t>Many advanced checks are gated behind Premium plans (Defender for Storage, Defender for Servers) which charge high monthly fees per resource, resulting in unpredictable bills.</w:t>
      </w:r>
    </w:p>
    <w:p>
      <w:pPr>
        <w:pStyle w:val="ListBullet"/>
        <w:spacing w:after="60" w:line="276" w:lineRule="auto"/>
      </w:pPr>
      <w:r>
        <w:rPr>
          <w:rFonts w:ascii="Calibri" w:hAnsi="Calibri"/>
          <w:b/>
          <w:i w:val="0"/>
          <w:color w:val="2B2B2B"/>
          <w:sz w:val="22"/>
        </w:rPr>
        <w:t xml:space="preserve">Export Usability: </w:t>
      </w:r>
      <w:r>
        <w:rPr>
          <w:rFonts w:ascii="Calibri" w:hAnsi="Calibri"/>
          <w:b w:val="0"/>
          <w:i w:val="0"/>
          <w:color w:val="2B2B2B"/>
          <w:sz w:val="22"/>
        </w:rPr>
        <w:t>Sharing standard Azure recommendations with external stakeholders or auditors requires exporting data, which is often messy and non-portable.</w:t>
      </w:r>
    </w:p>
    <w:p>
      <w:pPr>
        <w:keepNext/>
        <w:spacing w:before="280" w:after="80"/>
      </w:pPr>
      <w:r>
        <w:rPr>
          <w:rFonts w:ascii="Calibri Light" w:hAnsi="Calibri Light"/>
          <w:b/>
          <w:i w:val="0"/>
          <w:color w:val="00B294"/>
          <w:sz w:val="28"/>
        </w:rPr>
        <w:t>Category C: Open-Source Command Line Scanners (Scout Suite, Prowler)</w:t>
      </w:r>
    </w:p>
    <w:p>
      <w:pPr>
        <w:spacing w:after="120" w:line="276" w:lineRule="auto"/>
      </w:pPr>
      <w:r>
        <w:rPr>
          <w:rFonts w:ascii="Calibri" w:hAnsi="Calibri"/>
          <w:b w:val="0"/>
          <w:i w:val="0"/>
          <w:color w:val="2B2B2B"/>
          <w:sz w:val="22"/>
        </w:rPr>
        <w:t>These are popular developer utilities but fail for business users:</w:t>
      </w:r>
    </w:p>
    <w:p>
      <w:pPr>
        <w:pStyle w:val="ListBullet"/>
        <w:spacing w:after="60" w:line="276" w:lineRule="auto"/>
      </w:pPr>
      <w:r>
        <w:rPr>
          <w:rFonts w:ascii="Calibri" w:hAnsi="Calibri"/>
          <w:b/>
          <w:i w:val="0"/>
          <w:color w:val="2B2B2B"/>
          <w:sz w:val="22"/>
        </w:rPr>
        <w:t xml:space="preserve">High Barrier to Entry: </w:t>
      </w:r>
      <w:r>
        <w:rPr>
          <w:rFonts w:ascii="Calibri" w:hAnsi="Calibri"/>
          <w:b w:val="0"/>
          <w:i w:val="0"/>
          <w:color w:val="2B2B2B"/>
          <w:sz w:val="22"/>
        </w:rPr>
        <w:t>Requires installing Python, Node.js, or CLI tools on a local terminal, managing dependencies, and manually authenticating via command-line credentials.</w:t>
      </w:r>
    </w:p>
    <w:p>
      <w:pPr>
        <w:pStyle w:val="ListBullet"/>
        <w:spacing w:after="60" w:line="276" w:lineRule="auto"/>
      </w:pPr>
      <w:r>
        <w:rPr>
          <w:rFonts w:ascii="Calibri" w:hAnsi="Calibri"/>
          <w:b/>
          <w:i w:val="0"/>
          <w:color w:val="2B2B2B"/>
          <w:sz w:val="22"/>
        </w:rPr>
        <w:t xml:space="preserve">Technical Reports: </w:t>
      </w:r>
      <w:r>
        <w:rPr>
          <w:rFonts w:ascii="Calibri" w:hAnsi="Calibri"/>
          <w:b w:val="0"/>
          <w:i w:val="0"/>
          <w:color w:val="2B2B2B"/>
          <w:sz w:val="22"/>
        </w:rPr>
        <w:t>The output report format is raw JSON or basic HTML files that lack professional corporate formatting, scoring systems, or clear business mitigation advice.</w:t>
      </w:r>
    </w:p>
    <w:p>
      <w:pPr>
        <w:keepNext/>
        <w:spacing w:before="360" w:after="120"/>
      </w:pPr>
      <w:r>
        <w:rPr>
          <w:rFonts w:ascii="Calibri Light" w:hAnsi="Calibri Light"/>
          <w:b/>
          <w:i w:val="0"/>
          <w:color w:val="0078D4"/>
          <w:sz w:val="36"/>
        </w:rPr>
        <w:t>6. Market Positioning &amp; Competitive Advantage</w:t>
      </w:r>
    </w:p>
    <w:p>
      <w:pPr>
        <w:spacing w:after="120" w:line="276" w:lineRule="auto"/>
      </w:pPr>
      <w:r>
        <w:rPr>
          <w:rFonts w:ascii="Calibri" w:hAnsi="Calibri"/>
          <w:b w:val="0"/>
          <w:i w:val="0"/>
          <w:color w:val="2B2B2B"/>
          <w:sz w:val="22"/>
        </w:rPr>
        <w:t>The CSPA-Portal is positioned as a high-velocity, zero-friction security assessment tool. It bridges the gap between overly complex enterprise SaaS tools and hard-to-use developer CLI utilities.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2880"/>
            <w:shd w:fill="0078D4"/>
            <w:tcMar>
              <w:top w:w="120" w:type="dxa"/>
              <w:bottom w:w="120" w:type="dxa"/>
              <w:left w:w="150" w:type="dxa"/>
              <w:right w:w="150" w:type="dxa"/>
            </w:tcMar>
          </w:tcPr>
          <w:p>
            <w:pPr>
              <w:spacing w:after="0" w:line="240" w:lineRule="auto"/>
            </w:pPr>
            <w:r/>
            <w:r>
              <w:rPr>
                <w:rFonts w:ascii="Calibri" w:hAnsi="Calibri"/>
                <w:b/>
                <w:i w:val="0"/>
                <w:color w:val="FFFFFF"/>
                <w:sz w:val="20"/>
              </w:rPr>
              <w:t>Feature / Metric</w:t>
            </w:r>
          </w:p>
        </w:tc>
        <w:tc>
          <w:tcPr>
            <w:tcW w:type="dxa" w:w="1872"/>
            <w:shd w:fill="0078D4"/>
            <w:tcMar>
              <w:top w:w="120" w:type="dxa"/>
              <w:bottom w:w="120" w:type="dxa"/>
              <w:left w:w="150" w:type="dxa"/>
              <w:right w:w="150" w:type="dxa"/>
            </w:tcMar>
          </w:tcPr>
          <w:p>
            <w:pPr>
              <w:spacing w:after="0" w:line="240" w:lineRule="auto"/>
            </w:pPr>
            <w:r/>
            <w:r>
              <w:rPr>
                <w:rFonts w:ascii="Calibri" w:hAnsi="Calibri"/>
                <w:b/>
                <w:i w:val="0"/>
                <w:color w:val="FFFFFF"/>
                <w:sz w:val="20"/>
              </w:rPr>
              <w:t>CSPA-Portal</w:t>
            </w:r>
          </w:p>
        </w:tc>
        <w:tc>
          <w:tcPr>
            <w:tcW w:type="dxa" w:w="2016"/>
            <w:shd w:fill="0078D4"/>
            <w:tcMar>
              <w:top w:w="120" w:type="dxa"/>
              <w:bottom w:w="120" w:type="dxa"/>
              <w:left w:w="150" w:type="dxa"/>
              <w:right w:w="150" w:type="dxa"/>
            </w:tcMar>
          </w:tcPr>
          <w:p>
            <w:pPr>
              <w:spacing w:after="0" w:line="240" w:lineRule="auto"/>
            </w:pPr>
            <w:r/>
            <w:r>
              <w:rPr>
                <w:rFonts w:ascii="Calibri" w:hAnsi="Calibri"/>
                <w:b/>
                <w:i w:val="0"/>
                <w:color w:val="FFFFFF"/>
                <w:sz w:val="20"/>
              </w:rPr>
              <w:t>Enterprise CSPM (Wiz/Prisma)</w:t>
            </w:r>
          </w:p>
        </w:tc>
        <w:tc>
          <w:tcPr>
            <w:tcW w:type="dxa" w:w="2016"/>
            <w:shd w:fill="0078D4"/>
            <w:tcMar>
              <w:top w:w="120" w:type="dxa"/>
              <w:bottom w:w="120" w:type="dxa"/>
              <w:left w:w="150" w:type="dxa"/>
              <w:right w:w="150" w:type="dxa"/>
            </w:tcMar>
          </w:tcPr>
          <w:p>
            <w:pPr>
              <w:spacing w:after="0" w:line="240" w:lineRule="auto"/>
            </w:pPr>
            <w:r/>
            <w:r>
              <w:rPr>
                <w:rFonts w:ascii="Calibri" w:hAnsi="Calibri"/>
                <w:b/>
                <w:i w:val="0"/>
                <w:color w:val="FFFFFF"/>
                <w:sz w:val="20"/>
              </w:rPr>
              <w:t>Microsoft Defender</w:t>
            </w:r>
          </w:p>
        </w:tc>
        <w:tc>
          <w:tcPr>
            <w:tcW w:type="dxa" w:w="2016"/>
            <w:shd w:fill="0078D4"/>
            <w:tcMar>
              <w:top w:w="120" w:type="dxa"/>
              <w:bottom w:w="120" w:type="dxa"/>
              <w:left w:w="150" w:type="dxa"/>
              <w:right w:w="150" w:type="dxa"/>
            </w:tcMar>
          </w:tcPr>
          <w:p>
            <w:pPr>
              <w:spacing w:after="0" w:line="240" w:lineRule="auto"/>
            </w:pPr>
            <w:r/>
            <w:r>
              <w:rPr>
                <w:rFonts w:ascii="Calibri" w:hAnsi="Calibri"/>
                <w:b/>
                <w:i w:val="0"/>
                <w:color w:val="FFFFFF"/>
                <w:sz w:val="20"/>
              </w:rPr>
              <w:t>CLI Tools (Prowler)</w:t>
            </w:r>
          </w:p>
        </w:tc>
      </w:tr>
      <w:tr>
        <w:tc>
          <w:tcPr>
            <w:tcW w:type="dxa" w:w="2880"/>
            <w:shd w:fill="FFFFFF"/>
            <w:tcMar>
              <w:top w:w="100" w:type="dxa"/>
              <w:bottom w:w="100" w:type="dxa"/>
              <w:left w:w="120" w:type="dxa"/>
              <w:right w:w="120" w:type="dxa"/>
            </w:tcMar>
          </w:tcPr>
          <w:p>
            <w:pPr>
              <w:spacing w:after="0" w:line="276" w:lineRule="auto"/>
            </w:pPr>
            <w:r/>
            <w:r>
              <w:rPr>
                <w:rFonts w:ascii="Calibri" w:hAnsi="Calibri"/>
                <w:b w:val="0"/>
                <w:i w:val="0"/>
                <w:color w:val="2B2B2B"/>
                <w:sz w:val="19"/>
              </w:rPr>
              <w:t>Onboarding Time</w:t>
            </w:r>
          </w:p>
        </w:tc>
        <w:tc>
          <w:tcPr>
            <w:tcW w:type="dxa" w:w="1872"/>
            <w:shd w:fill="FFFFFF"/>
            <w:tcMar>
              <w:top w:w="100" w:type="dxa"/>
              <w:bottom w:w="100" w:type="dxa"/>
              <w:left w:w="120" w:type="dxa"/>
              <w:right w:w="120" w:type="dxa"/>
            </w:tcMar>
          </w:tcPr>
          <w:p>
            <w:pPr>
              <w:spacing w:after="0" w:line="276" w:lineRule="auto"/>
            </w:pPr>
            <w:r/>
            <w:r>
              <w:rPr>
                <w:rFonts w:ascii="Calibri" w:hAnsi="Calibri"/>
                <w:b w:val="0"/>
                <w:i w:val="0"/>
                <w:color w:val="2B2B2B"/>
                <w:sz w:val="19"/>
              </w:rPr>
              <w:t>Under 2 Minutes</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Days to Weeks</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Instant (if enabled)</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30-60 Minutes</w:t>
            </w:r>
          </w:p>
        </w:tc>
      </w:tr>
      <w:tr>
        <w:tc>
          <w:tcPr>
            <w:tcW w:type="dxa" w:w="2880"/>
            <w:shd w:fill="F5F7FA"/>
            <w:tcMar>
              <w:top w:w="100" w:type="dxa"/>
              <w:bottom w:w="100" w:type="dxa"/>
              <w:left w:w="120" w:type="dxa"/>
              <w:right w:w="120" w:type="dxa"/>
            </w:tcMar>
          </w:tcPr>
          <w:p>
            <w:pPr>
              <w:spacing w:after="0" w:line="276" w:lineRule="auto"/>
            </w:pPr>
            <w:r/>
            <w:r>
              <w:rPr>
                <w:rFonts w:ascii="Calibri" w:hAnsi="Calibri"/>
                <w:b w:val="0"/>
                <w:i w:val="0"/>
                <w:color w:val="2B2B2B"/>
                <w:sz w:val="19"/>
              </w:rPr>
              <w:t>Cost</w:t>
            </w:r>
          </w:p>
        </w:tc>
        <w:tc>
          <w:tcPr>
            <w:tcW w:type="dxa" w:w="1872"/>
            <w:shd w:fill="F5F7FA"/>
            <w:tcMar>
              <w:top w:w="100" w:type="dxa"/>
              <w:bottom w:w="100" w:type="dxa"/>
              <w:left w:w="120" w:type="dxa"/>
              <w:right w:w="120" w:type="dxa"/>
            </w:tcMar>
          </w:tcPr>
          <w:p>
            <w:pPr>
              <w:spacing w:after="0" w:line="276" w:lineRule="auto"/>
            </w:pPr>
            <w:r/>
            <w:r>
              <w:rPr>
                <w:rFonts w:ascii="Calibri" w:hAnsi="Calibri"/>
                <w:b w:val="0"/>
                <w:i w:val="0"/>
                <w:color w:val="2B2B2B"/>
                <w:sz w:val="19"/>
              </w:rPr>
              <w:t>Free / Low Premium Fee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Very High ($20k+ / Year)</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Variable (High per resource)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Free (Open Source)</w:t>
            </w:r>
          </w:p>
        </w:tc>
      </w:tr>
      <w:tr>
        <w:tc>
          <w:tcPr>
            <w:tcW w:type="dxa" w:w="2880"/>
            <w:shd w:fill="FFFFFF"/>
            <w:tcMar>
              <w:top w:w="100" w:type="dxa"/>
              <w:bottom w:w="100" w:type="dxa"/>
              <w:left w:w="120" w:type="dxa"/>
              <w:right w:w="120" w:type="dxa"/>
            </w:tcMar>
          </w:tcPr>
          <w:p>
            <w:pPr>
              <w:spacing w:after="0" w:line="276" w:lineRule="auto"/>
            </w:pPr>
            <w:r/>
            <w:r>
              <w:rPr>
                <w:rFonts w:ascii="Calibri" w:hAnsi="Calibri"/>
                <w:b w:val="0"/>
                <w:i w:val="0"/>
                <w:color w:val="2B2B2B"/>
                <w:sz w:val="19"/>
              </w:rPr>
              <w:t>Deployment Footprint</w:t>
            </w:r>
          </w:p>
        </w:tc>
        <w:tc>
          <w:tcPr>
            <w:tcW w:type="dxa" w:w="1872"/>
            <w:shd w:fill="FFFFFF"/>
            <w:tcMar>
              <w:top w:w="100" w:type="dxa"/>
              <w:bottom w:w="100" w:type="dxa"/>
              <w:left w:w="120" w:type="dxa"/>
              <w:right w:w="120" w:type="dxa"/>
            </w:tcMar>
          </w:tcPr>
          <w:p>
            <w:pPr>
              <w:spacing w:after="0" w:line="276" w:lineRule="auto"/>
            </w:pPr>
            <w:r/>
            <w:r>
              <w:rPr>
                <w:rFonts w:ascii="Calibri" w:hAnsi="Calibri"/>
                <w:b w:val="0"/>
                <w:i w:val="0"/>
                <w:color w:val="2B2B2B"/>
                <w:sz w:val="19"/>
              </w:rPr>
              <w:t>Zero (Runs in Cloud Shell)</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High (API / Tenant Trust)</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Native Agent / Extension</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Local Install &amp; Setup</w:t>
            </w:r>
          </w:p>
        </w:tc>
      </w:tr>
      <w:tr>
        <w:tc>
          <w:tcPr>
            <w:tcW w:type="dxa" w:w="2880"/>
            <w:shd w:fill="F5F7FA"/>
            <w:tcMar>
              <w:top w:w="100" w:type="dxa"/>
              <w:bottom w:w="100" w:type="dxa"/>
              <w:left w:w="120" w:type="dxa"/>
              <w:right w:w="120" w:type="dxa"/>
            </w:tcMar>
          </w:tcPr>
          <w:p>
            <w:pPr>
              <w:spacing w:after="0" w:line="276" w:lineRule="auto"/>
            </w:pPr>
            <w:r/>
            <w:r>
              <w:rPr>
                <w:rFonts w:ascii="Calibri" w:hAnsi="Calibri"/>
                <w:b w:val="0"/>
                <w:i w:val="0"/>
                <w:color w:val="2B2B2B"/>
                <w:sz w:val="19"/>
              </w:rPr>
              <w:t>Data Privacy</w:t>
            </w:r>
          </w:p>
        </w:tc>
        <w:tc>
          <w:tcPr>
            <w:tcW w:type="dxa" w:w="1872"/>
            <w:shd w:fill="F5F7FA"/>
            <w:tcMar>
              <w:top w:w="100" w:type="dxa"/>
              <w:bottom w:w="100" w:type="dxa"/>
              <w:left w:w="120" w:type="dxa"/>
              <w:right w:w="120" w:type="dxa"/>
            </w:tcMar>
          </w:tcPr>
          <w:p>
            <w:pPr>
              <w:spacing w:after="0" w:line="276" w:lineRule="auto"/>
            </w:pPr>
            <w:r/>
            <w:r>
              <w:rPr>
                <w:rFonts w:ascii="Calibri" w:hAnsi="Calibri"/>
                <w:b w:val="0"/>
                <w:i w:val="0"/>
                <w:color w:val="2B2B2B"/>
                <w:sz w:val="19"/>
              </w:rPr>
              <w:t>100% Client-Side (No SaaS storage)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Third-Party SaaS storage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Microsoft Tenant Storage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Local Machine Storage</w:t>
            </w:r>
          </w:p>
        </w:tc>
      </w:tr>
      <w:tr>
        <w:tc>
          <w:tcPr>
            <w:tcW w:type="dxa" w:w="2880"/>
            <w:shd w:fill="FFFFFF"/>
            <w:tcMar>
              <w:top w:w="100" w:type="dxa"/>
              <w:bottom w:w="100" w:type="dxa"/>
              <w:left w:w="120" w:type="dxa"/>
              <w:right w:w="120" w:type="dxa"/>
            </w:tcMar>
          </w:tcPr>
          <w:p>
            <w:pPr>
              <w:spacing w:after="0" w:line="276" w:lineRule="auto"/>
            </w:pPr>
            <w:r/>
            <w:r>
              <w:rPr>
                <w:rFonts w:ascii="Calibri" w:hAnsi="Calibri"/>
                <w:b w:val="0"/>
                <w:i w:val="0"/>
                <w:color w:val="2B2B2B"/>
                <w:sz w:val="19"/>
              </w:rPr>
              <w:t>Auditor Portability</w:t>
            </w:r>
          </w:p>
        </w:tc>
        <w:tc>
          <w:tcPr>
            <w:tcW w:type="dxa" w:w="1872"/>
            <w:shd w:fill="FFFFFF"/>
            <w:tcMar>
              <w:top w:w="100" w:type="dxa"/>
              <w:bottom w:w="100" w:type="dxa"/>
              <w:left w:w="120" w:type="dxa"/>
              <w:right w:w="120" w:type="dxa"/>
            </w:tcMar>
          </w:tcPr>
          <w:p>
            <w:pPr>
              <w:spacing w:after="0" w:line="276" w:lineRule="auto"/>
            </w:pPr>
            <w:r/>
            <w:r>
              <w:rPr>
                <w:rFonts w:ascii="Calibri" w:hAnsi="Calibri"/>
                <w:b w:val="0"/>
                <w:i w:val="0"/>
                <w:color w:val="2B2B2B"/>
                <w:sz w:val="19"/>
              </w:rPr>
              <w:t>Self-contained HTML Report</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Console PDF Export</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Complex CSV / Log Exports</w:t>
            </w:r>
          </w:p>
        </w:tc>
        <w:tc>
          <w:tcPr>
            <w:tcW w:type="dxa" w:w="2016"/>
            <w:shd w:fill="FFFFFF"/>
            <w:tcMar>
              <w:top w:w="100" w:type="dxa"/>
              <w:bottom w:w="100" w:type="dxa"/>
              <w:left w:w="120" w:type="dxa"/>
              <w:right w:w="120" w:type="dxa"/>
            </w:tcMar>
          </w:tcPr>
          <w:p>
            <w:pPr>
              <w:spacing w:after="0" w:line="276" w:lineRule="auto"/>
            </w:pPr>
            <w:r/>
            <w:r>
              <w:rPr>
                <w:rFonts w:ascii="Calibri" w:hAnsi="Calibri"/>
                <w:b w:val="0"/>
                <w:i w:val="0"/>
                <w:color w:val="2B2B2B"/>
                <w:sz w:val="19"/>
              </w:rPr>
              <w:t>Raw HTML / JSON</w:t>
            </w:r>
          </w:p>
        </w:tc>
      </w:tr>
      <w:tr>
        <w:tc>
          <w:tcPr>
            <w:tcW w:type="dxa" w:w="2880"/>
            <w:shd w:fill="F5F7FA"/>
            <w:tcMar>
              <w:top w:w="100" w:type="dxa"/>
              <w:bottom w:w="100" w:type="dxa"/>
              <w:left w:w="120" w:type="dxa"/>
              <w:right w:w="120" w:type="dxa"/>
            </w:tcMar>
          </w:tcPr>
          <w:p>
            <w:pPr>
              <w:spacing w:after="0" w:line="276" w:lineRule="auto"/>
            </w:pPr>
            <w:r/>
            <w:r>
              <w:rPr>
                <w:rFonts w:ascii="Calibri" w:hAnsi="Calibri"/>
                <w:b w:val="0"/>
                <w:i w:val="0"/>
                <w:color w:val="2B2B2B"/>
                <w:sz w:val="19"/>
              </w:rPr>
              <w:t>AI Assistance</w:t>
            </w:r>
          </w:p>
        </w:tc>
        <w:tc>
          <w:tcPr>
            <w:tcW w:type="dxa" w:w="1872"/>
            <w:shd w:fill="F5F7FA"/>
            <w:tcMar>
              <w:top w:w="100" w:type="dxa"/>
              <w:bottom w:w="100" w:type="dxa"/>
              <w:left w:w="120" w:type="dxa"/>
              <w:right w:w="120" w:type="dxa"/>
            </w:tcMar>
          </w:tcPr>
          <w:p>
            <w:pPr>
              <w:spacing w:after="0" w:line="276" w:lineRule="auto"/>
            </w:pPr>
            <w:r/>
            <w:r>
              <w:rPr>
                <w:rFonts w:ascii="Calibri" w:hAnsi="Calibri"/>
                <w:b w:val="0"/>
                <w:i w:val="0"/>
                <w:color w:val="2B2B2B"/>
                <w:sz w:val="19"/>
              </w:rPr>
              <w:t>Integrated Guidance Chatbot</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Only in Premium Dashboards</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Copilot for Security (Expensive)</w:t>
            </w:r>
          </w:p>
        </w:tc>
        <w:tc>
          <w:tcPr>
            <w:tcW w:type="dxa" w:w="2016"/>
            <w:shd w:fill="F5F7FA"/>
            <w:tcMar>
              <w:top w:w="100" w:type="dxa"/>
              <w:bottom w:w="100" w:type="dxa"/>
              <w:left w:w="120" w:type="dxa"/>
              <w:right w:w="120" w:type="dxa"/>
            </w:tcMar>
          </w:tcPr>
          <w:p>
            <w:pPr>
              <w:spacing w:after="0" w:line="276" w:lineRule="auto"/>
            </w:pPr>
            <w:r/>
            <w:r>
              <w:rPr>
                <w:rFonts w:ascii="Calibri" w:hAnsi="Calibri"/>
                <w:b w:val="0"/>
                <w:i w:val="0"/>
                <w:color w:val="2B2B2B"/>
                <w:sz w:val="19"/>
              </w:rPr>
              <w:t>None</w:t>
            </w:r>
          </w:p>
        </w:tc>
      </w:tr>
    </w:tbl>
    <w:p>
      <w:pPr>
        <w:spacing w:after="120"/>
      </w:pPr>
    </w:p>
    <w:p>
      <w:pPr>
        <w:keepNext/>
        <w:spacing w:before="280" w:after="80"/>
      </w:pPr>
      <w:r>
        <w:rPr>
          <w:rFonts w:ascii="Calibri Light" w:hAnsi="Calibri Light"/>
          <w:b/>
          <w:i w:val="0"/>
          <w:color w:val="00B294"/>
          <w:sz w:val="28"/>
        </w:rPr>
        <w:t>Why CSPA Will Succeed in the Market</w:t>
      </w:r>
    </w:p>
    <w:p>
      <w:pPr>
        <w:spacing w:after="120" w:line="276" w:lineRule="auto"/>
      </w:pPr>
      <w:r>
        <w:rPr>
          <w:rFonts w:ascii="Calibri" w:hAnsi="Calibri"/>
          <w:b w:val="0"/>
          <w:i w:val="0"/>
          <w:color w:val="2B2B2B"/>
          <w:sz w:val="22"/>
        </w:rPr>
        <w:t>1. Value-Selling Lead Generation: For security consultants and managed service providers (MSPs), CSPA serves as the ultimate conversation starter. They can run a free, non-intrusive 3-minute assessment during a initial client call, present a beautiful report highlighting critical security failures, and immediately close services to remediate those issues.</w:t>
      </w:r>
    </w:p>
    <w:p>
      <w:pPr>
        <w:spacing w:after="120" w:line="276" w:lineRule="auto"/>
      </w:pPr>
      <w:r>
        <w:rPr>
          <w:rFonts w:ascii="Calibri" w:hAnsi="Calibri"/>
          <w:b w:val="0"/>
          <w:i w:val="0"/>
          <w:color w:val="2B2B2B"/>
          <w:sz w:val="22"/>
        </w:rPr>
        <w:t>2. Complete Data Custody: Enterprise clients in government, healthcare, and finance reject third-party SaaS tools due to compliance concerns. CSPA's client-side execution bypasses security reviews because the scripts run inside their subscription and data never leaves their control.</w:t>
      </w:r>
    </w:p>
    <w:p>
      <w:pPr>
        <w:spacing w:after="120" w:line="276" w:lineRule="auto"/>
      </w:pPr>
      <w:r>
        <w:rPr>
          <w:rFonts w:ascii="Calibri" w:hAnsi="Calibri"/>
          <w:b w:val="0"/>
          <w:i w:val="0"/>
          <w:color w:val="2B2B2B"/>
          <w:sz w:val="22"/>
        </w:rPr>
        <w:t>3. Low Cost, High Value: CSPA turns complex scripting knowledge into a clean, premium visual interface, charging a fraction of the cost of SaaS tools while delivering immediate, understandable security answers.</w:t>
      </w:r>
    </w:p>
    <w:p>
      <w:pPr>
        <w:spacing w:after="120" w:line="276" w:lineRule="auto"/>
      </w:pPr>
      <w:r>
        <w:rPr>
          <w:rFonts w:ascii="Calibri" w:hAnsi="Calibri"/>
          <w:b w:val="0"/>
          <w:i/>
          <w:color w:val="2B2B2B"/>
          <w:sz w:val="22"/>
        </w:rPr>
        <w:t>Document Prepared by Meridian Solutions.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