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4703"/>
            <w:vMerge w:val="restart"/>
          </w:tcPr>
          <w:p>
            <w:r>
              <w:rPr>
                <w:rFonts w:ascii="Arial" w:hAnsi="Arial"/>
              </w:rPr>
              <w:drawing>
                <wp:inline xmlns:a="http://schemas.openxmlformats.org/drawingml/2006/main" xmlns:pic="http://schemas.openxmlformats.org/drawingml/2006/picture">
                  <wp:extent cx="1828800" cy="64847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484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03"/>
          </w:tcPr>
          <w:p>
            <w:pPr>
              <w:jc w:val="right"/>
            </w:pPr>
            <w:r>
              <w:rPr>
                <w:rFonts w:ascii="Arial" w:hAnsi="Arial"/>
                <w:sz w:val="16"/>
              </w:rPr>
              <w:t>VibroAcustica Acoustics Laboratories</w:t>
              <w:br/>
              <w:t xml:space="preserve"> Joinville – SC, 89219-600, Brazil</w:t>
            </w:r>
          </w:p>
        </w:tc>
      </w:tr>
      <w:tr>
        <w:tc>
          <w:tcPr>
            <w:tcW w:type="dxa" w:w="4703"/>
            <w:vMerge/>
          </w:tcPr>
          <w:p/>
        </w:tc>
        <w:tc>
          <w:tcPr>
            <w:tcW w:type="dxa" w:w="4703"/>
          </w:tcPr>
          <w:p>
            <w:pPr>
              <w:jc w:val="right"/>
            </w:pPr>
            <w:r>
              <w:rPr>
                <w:rFonts w:ascii="Arial" w:hAnsi="Arial"/>
                <w:sz w:val="16"/>
              </w:rPr>
              <w:t>+55 (47) 3440-1787</w:t>
            </w:r>
          </w:p>
        </w:tc>
      </w:tr>
      <w:tr>
        <w:tc>
          <w:tcPr>
            <w:tcW w:type="dxa" w:w="4703"/>
            <w:vMerge/>
          </w:tcPr>
          <w:p/>
        </w:tc>
        <w:tc>
          <w:tcPr>
            <w:tcW w:type="dxa" w:w="4703"/>
          </w:tcPr>
          <w:p>
            <w:pPr>
              <w:jc w:val="right"/>
            </w:pPr>
            <w:r>
              <w:rPr>
                <w:rFonts w:ascii="Arial" w:hAnsi="Arial"/>
                <w:sz w:val="16"/>
              </w:rPr>
              <w:t>Page 1 of 9</w:t>
            </w:r>
          </w:p>
        </w:tc>
      </w:tr>
    </w:tbl>
    <w:p/>
    <w:p/>
    <w:p/>
    <w:p>
      <w:pPr>
        <w:jc w:val="left"/>
      </w:pPr>
      <w:r>
        <w:rPr>
          <w:rFonts w:ascii="Arial" w:hAnsi="Arial"/>
          <w:b/>
          <w:color w:val="DC0000"/>
          <w:sz w:val="24"/>
        </w:rPr>
        <w:t>LABORATORY TEST REPORT</w:t>
      </w:r>
    </w:p>
    <w:p>
      <w:pPr>
        <w:jc w:val="left"/>
      </w:pPr>
      <w:r>
        <w:rPr>
          <w:rFonts w:ascii="Arial" w:hAnsi="Arial"/>
          <w:b/>
          <w:color w:val="DC0000"/>
          <w:sz w:val="20"/>
        </w:rPr>
        <w:t>BS EN ISO 10534-2: 2001. DETERMINATION OF SOUND ABSORPTION COEFFICIENT</w:t>
        <w:br/>
        <w:t>IN IMPEDANCE TUBES. TRANSFER-FUNCTION METHOD.</w:t>
      </w:r>
    </w:p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5102"/>
          </w:tcPr>
          <w:p>
            <w:r>
              <w:rPr>
                <w:rFonts w:ascii="Arial" w:hAnsi="Arial"/>
                <w:b/>
                <w:sz w:val="20"/>
              </w:rPr>
              <w:t>CLIENT:</w:t>
            </w:r>
          </w:p>
        </w:tc>
        <w:tc>
          <w:tcPr>
            <w:tcW w:type="dxa" w:w="5102"/>
          </w:tcPr>
          <w:p>
            <w:r>
              <w:rPr>
                <w:rFonts w:ascii="Arial" w:hAnsi="Arial"/>
                <w:sz w:val="20"/>
              </w:rPr>
              <w:t>Client</w:t>
            </w:r>
          </w:p>
        </w:tc>
      </w:tr>
      <w:tr>
        <w:tc>
          <w:tcPr>
            <w:tcW w:type="dxa" w:w="5102"/>
          </w:tcPr>
          <w:p>
            <w:r>
              <w:rPr>
                <w:rFonts w:ascii="Arial" w:hAnsi="Arial"/>
                <w:b/>
                <w:sz w:val="20"/>
              </w:rPr>
              <w:t>PRODUCT(S):</w:t>
            </w:r>
          </w:p>
        </w:tc>
        <w:tc>
          <w:tcPr>
            <w:tcW w:type="dxa" w:w="510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5102"/>
          </w:tcPr>
          <w:p>
            <w:r>
              <w:rPr>
                <w:rFonts w:ascii="Arial" w:hAnsi="Arial"/>
                <w:b/>
                <w:sz w:val="20"/>
              </w:rPr>
              <w:t>TEST DATE:</w:t>
            </w:r>
          </w:p>
        </w:tc>
        <w:tc>
          <w:tcPr>
            <w:tcW w:type="dxa" w:w="5102"/>
          </w:tcPr>
          <w:p>
            <w:r>
              <w:rPr>
                <w:rFonts w:ascii="Arial" w:hAnsi="Arial"/>
                <w:sz w:val="20"/>
              </w:rPr>
              <w:t>&lt;built-in method today of type object at 0x00007FFEB28C0F40&gt;</w:t>
            </w:r>
          </w:p>
        </w:tc>
      </w:tr>
      <w:tr>
        <w:tc>
          <w:tcPr>
            <w:tcW w:type="dxa" w:w="5102"/>
          </w:tcPr>
          <w:p>
            <w:r/>
          </w:p>
        </w:tc>
        <w:tc>
          <w:tcPr>
            <w:tcW w:type="dxa" w:w="5102"/>
          </w:tcPr>
          <w:p>
            <w:r/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5102"/>
          </w:tcPr>
          <w:p>
            <w:r>
              <w:rPr>
                <w:rFonts w:ascii="Arial" w:hAnsi="Arial"/>
                <w:b/>
                <w:sz w:val="20"/>
              </w:rPr>
              <w:t xml:space="preserve">TEST REPORT No.: </w:t>
            </w:r>
            <w:r>
              <w:rPr>
                <w:rFonts w:ascii="Arial" w:hAnsi="Arial"/>
                <w:sz w:val="20"/>
              </w:rPr>
              <w:t>Test No</w:t>
            </w:r>
          </w:p>
        </w:tc>
        <w:tc>
          <w:tcPr>
            <w:tcW w:type="dxa" w:w="5102"/>
          </w:tcPr>
          <w:p>
            <w:r>
              <w:rPr>
                <w:rFonts w:ascii="Arial" w:hAnsi="Arial"/>
                <w:b/>
                <w:sz w:val="20"/>
              </w:rPr>
              <w:t xml:space="preserve">DATE OF ISSUE: </w:t>
            </w:r>
            <w:r>
              <w:rPr>
                <w:rFonts w:ascii="Arial" w:hAnsi="Arial"/>
                <w:sz w:val="20"/>
              </w:rPr>
              <w:t>&lt;built-in method today of type object at 0x00007FFEB28C0F40&gt;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4703"/>
          </w:tcPr>
          <w:p>
            <w:r>
              <w:rPr>
                <w:rFonts w:ascii="Arial" w:hAnsi="Arial"/>
                <w:b/>
                <w:sz w:val="20"/>
              </w:rPr>
              <w:t xml:space="preserve">Signed: </w:t>
            </w:r>
          </w:p>
        </w:tc>
        <w:tc>
          <w:tcPr>
            <w:tcW w:type="dxa" w:w="4703"/>
          </w:tcPr>
          <w:p>
            <w:r>
              <w:rPr>
                <w:rFonts w:ascii="Arial" w:hAnsi="Arial"/>
                <w:b/>
                <w:sz w:val="20"/>
              </w:rPr>
              <w:t xml:space="preserve">Approved: </w:t>
            </w:r>
          </w:p>
        </w:tc>
      </w:tr>
      <w:tr>
        <w:tc>
          <w:tcPr>
            <w:tcW w:type="dxa" w:w="4703"/>
          </w:tcPr>
          <w:p>
            <w:r>
              <w:rPr>
                <w:rFonts w:ascii="Arial" w:hAnsi="Arial"/>
                <w:sz w:val="20"/>
              </w:rPr>
              <w:t>Pessoa 1</w:t>
              <w:br/>
            </w:r>
            <w:r>
              <w:rPr>
                <w:rFonts w:ascii="Arial" w:hAnsi="Arial"/>
                <w:color w:val="DC0000"/>
                <w:sz w:val="20"/>
              </w:rPr>
              <w:t>Cargo 1</w:t>
            </w:r>
          </w:p>
        </w:tc>
        <w:tc>
          <w:tcPr>
            <w:tcW w:type="dxa" w:w="4703"/>
          </w:tcPr>
          <w:p>
            <w:r>
              <w:rPr>
                <w:rFonts w:ascii="Arial" w:hAnsi="Arial"/>
                <w:sz w:val="20"/>
              </w:rPr>
              <w:t>Pessoa 2</w:t>
              <w:br/>
            </w:r>
            <w:r>
              <w:rPr>
                <w:rFonts w:ascii="Arial" w:hAnsi="Arial"/>
                <w:color w:val="DC0000"/>
                <w:sz w:val="20"/>
              </w:rPr>
              <w:t>Cargo2</w:t>
            </w:r>
          </w:p>
        </w:tc>
      </w:tr>
    </w:tbl>
    <w:p>
      <w:r>
        <w:br w:type="page"/>
      </w:r>
    </w:p>
    <w:p>
      <w:r>
        <w:rPr>
          <w:rFonts w:ascii="Arial" w:hAnsi="Arial"/>
          <w:b/>
          <w:sz w:val="24"/>
        </w:rPr>
        <w:t>1. TEST SAMPLES AND CONDITIONS</w:t>
      </w:r>
    </w:p>
    <w:p>
      <w:r>
        <w:rPr>
          <w:rFonts w:ascii="Arial" w:hAnsi="Arial"/>
          <w:b/>
          <w:sz w:val="22"/>
        </w:rPr>
        <w:t>1.1. Description of Test Samples</w:t>
      </w:r>
    </w:p>
    <w:p>
      <w:r>
        <w:rPr>
          <w:rFonts w:ascii="Arial" w:hAnsi="Arial"/>
          <w:sz w:val="20"/>
        </w:rPr>
        <w:t>Product Identification: {self.model.product_name}</w:t>
      </w:r>
    </w:p>
    <w:p>
      <w:r>
        <w:rPr>
          <w:rFonts w:ascii="Arial" w:hAnsi="Arial"/>
          <w:sz w:val="20"/>
        </w:rPr>
        <w:t>Manufacturer: {self.model.manufacturer}</w:t>
      </w:r>
    </w:p>
    <w:p>
      <w:r>
        <w:rPr>
          <w:rFonts w:ascii="Arial" w:hAnsi="Arial"/>
          <w:sz w:val="20"/>
        </w:rPr>
        <w:t>Description: {self.model.description}</w:t>
      </w:r>
    </w:p>
    <w:p>
      <w:r>
        <w:rPr>
          <w:rFonts w:ascii="Arial" w:hAnsi="Arial"/>
          <w:sz w:val="20"/>
        </w:rPr>
        <w:t>Layers: {self.model.layers}</w:t>
      </w:r>
    </w:p>
    <w:p>
      <w:r>
        <w:rPr>
          <w:rFonts w:ascii="Arial" w:hAnsi="Arial"/>
          <w:sz w:val="20"/>
        </w:rPr>
        <w:t>Sample Conditions: {self.model.sample_conditions}</w:t>
      </w:r>
    </w:p>
    <w:p>
      <w:r>
        <w:rPr>
          <w:rFonts w:ascii="Arial" w:hAnsi="Arial"/>
          <w:sz w:val="20"/>
        </w:rPr>
        <w:t>Mounting: {self.model.mounting_description}</w:t>
      </w:r>
    </w:p>
    <w:p>
      <w:r>
        <w:rPr>
          <w:rFonts w:ascii="Arial" w:hAnsi="Arial"/>
          <w:b/>
          <w:sz w:val="22"/>
        </w:rPr>
        <w:t>1.2. Test Conditions</w:t>
      </w:r>
    </w:p>
    <w:p>
      <w:r>
        <w:rPr>
          <w:rFonts w:ascii="Arial" w:hAnsi="Arial"/>
          <w:sz w:val="20"/>
        </w:rPr>
        <w:t>Temperature: {self.model.temperature} °C</w:t>
      </w:r>
    </w:p>
    <w:p>
      <w:r>
        <w:rPr>
          <w:rFonts w:ascii="Arial" w:hAnsi="Arial"/>
          <w:sz w:val="20"/>
        </w:rPr>
        <w:t>Humidity: {self.model.humidity} %</w:t>
      </w:r>
    </w:p>
    <w:p>
      <w:r>
        <w:rPr>
          <w:rFonts w:ascii="Arial" w:hAnsi="Arial"/>
          <w:sz w:val="20"/>
        </w:rPr>
        <w:t>Pressure: {self.model.pressure} hPa</w:t>
      </w:r>
    </w:p>
    <w:p>
      <w:r>
        <w:rPr>
          <w:rFonts w:ascii="Arial" w:hAnsi="Arial"/>
          <w:b/>
          <w:sz w:val="24"/>
        </w:rPr>
        <w:t>2. MEASUREMENT DETAILS</w:t>
      </w:r>
    </w:p>
    <w:p>
      <w:r>
        <w:rPr>
          <w:rFonts w:ascii="Arial" w:hAnsi="Arial"/>
          <w:b/>
          <w:sz w:val="22"/>
        </w:rPr>
        <w:t>2.1. Equipment</w:t>
      </w:r>
    </w:p>
    <w:p>
      <w:pPr>
        <w:pStyle w:val="ListBullet"/>
      </w:pPr>
      <w:r>
        <w:rPr>
          <w:rFonts w:ascii="Arial" w:hAnsi="Arial"/>
          <w:sz w:val="20"/>
        </w:rPr>
        <w:t>Equipment {item+1}: Serial {1000+item}</w:t>
      </w:r>
    </w:p>
    <w:p>
      <w:pPr>
        <w:pStyle w:val="ListBullet"/>
      </w:pPr>
      <w:r>
        <w:rPr>
          <w:rFonts w:ascii="Arial" w:hAnsi="Arial"/>
          <w:sz w:val="20"/>
        </w:rPr>
        <w:t>Equipment {item+1}: Serial {1000+item}</w:t>
      </w:r>
    </w:p>
    <w:p>
      <w:r>
        <w:rPr>
          <w:rFonts w:ascii="Arial" w:hAnsi="Arial"/>
          <w:b/>
          <w:sz w:val="22"/>
        </w:rPr>
        <w:t>2.2. Procedure</w:t>
      </w:r>
    </w:p>
    <w:p>
      <w:r>
        <w:rPr>
          <w:rFonts w:ascii="Arial" w:hAnsi="Arial"/>
          <w:sz w:val="20"/>
        </w:rPr>
        <w:t>Sound absorption measurements were conducted according to the standard BS EN ISO 10534-2: 2001 using impedance tubes.</w:t>
      </w:r>
    </w:p>
    <w:p>
      <w:r>
        <w:rPr>
          <w:rFonts w:ascii="Arial" w:hAnsi="Arial"/>
          <w:sz w:val="20"/>
        </w:rPr>
        <w:t xml:space="preserve">For this particular test, a B&amp;K Type 4206 Impedance Tube was used (Figure 2). This </w:t>
        <w:br/>
        <w:t xml:space="preserve">                    impedance tube is in accordance with BS EN ISO 10534-2 and consists of an adjustable signal </w:t>
        <w:br/>
        <w:t xml:space="preserve">                    filter, a loudspeaker, a sound propagation tube, microphone holders, a large sample tube (100 </w:t>
        <w:br/>
        <w:t xml:space="preserve">                    mm diameter), and a small sample tube (29 mm diameter). Each sample tube contains an </w:t>
        <w:br/>
        <w:t xml:space="preserve">                    adjustable plunger for positioning the test sample and creating air gaps behind it if desired.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925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5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i/>
          <w:sz w:val="20"/>
        </w:rPr>
        <w:t>Figure 1: B&amp;K Type 4206 Impedance Tube Setup</w:t>
      </w:r>
    </w:p>
    <w:p>
      <w:r>
        <w:rPr>
          <w:rFonts w:ascii="Arial" w:hAnsi="Arial"/>
          <w:sz w:val="20"/>
        </w:rPr>
        <w:t xml:space="preserve">The test sample was mounted at </w:t>
        <w:br/>
        <w:t xml:space="preserve">                the end of the impedance tube by means of the sample holder, which is assumed to behave as </w:t>
        <w:br/>
        <w:t xml:space="preserve">                a rigid termination, with no gaps between the sample and the termination. The sample holder </w:t>
        <w:br/>
        <w:t xml:space="preserve">                was then mounted to the end of the tube and the microphones placed at measurement positions </w:t>
        <w:br/>
        <w:t xml:space="preserve">                following the characteristics described in Section 2.1 for samples with 29mm and 100mm </w:t>
        <w:br/>
        <w:t xml:space="preserve">                diameter. The impedance tube was mounted vertically on the wall, to allow the thin fabric to be </w:t>
        <w:br/>
        <w:t xml:space="preserve">                placed on top of the melamine foam surface. Finally, a broadband stationary random signal </w:t>
        <w:br/>
        <w:t xml:space="preserve">                was generated from B&amp;K Pulse through a power amplifier and into the loudspeaker mounted </w:t>
        <w:br/>
        <w:t xml:space="preserve">                in the impedance tube. </w:t>
        <w:br/>
        <w:t xml:space="preserve">                For each one of the test samples, the normal incidence sound absorption coefficient was then </w:t>
        <w:br/>
        <w:t xml:space="preserve">                determined by decomposing the incident and reflected components of the sound field within </w:t>
        <w:br/>
        <w:t xml:space="preserve">                the tube, which were measured by the two separated microphones along the tube length. The </w:t>
        <w:br/>
        <w:t xml:space="preserve">                incident and reflected components of the sound pressure level, at the two microphone positions, </w:t>
        <w:br/>
        <w:t xml:space="preserve">                were then used to calculate three frequency response functions, from which the reflection and </w:t>
        <w:br/>
        <w:t xml:space="preserve">                absorption coefficients can be calculated.</w:t>
      </w:r>
    </w:p>
    <w:p/>
    <w:p>
      <w:r>
        <w:rPr>
          <w:rFonts w:ascii="Arial" w:hAnsi="Arial"/>
          <w:sz w:val="20"/>
        </w:rPr>
        <w:t>A full list of the equipment used during the tests is presented in Table 1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4703"/>
            <w:shd w:fill="C00000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  <w:sz w:val="20"/>
              </w:rPr>
              <w:t>Equipment</w:t>
            </w:r>
          </w:p>
        </w:tc>
        <w:tc>
          <w:tcPr>
            <w:tcW w:type="dxa" w:w="4703"/>
            <w:shd w:fill="C00000"/>
          </w:tcPr>
          <w:p>
            <w:pPr>
              <w:jc w:val="center"/>
            </w:pPr>
            <w:r>
              <w:rPr>
                <w:rFonts w:ascii="Arial" w:hAnsi="Arial"/>
                <w:b/>
                <w:color w:val="FFFFFF"/>
                <w:sz w:val="20"/>
              </w:rPr>
              <w:t>Serial/Ref No.</w:t>
            </w:r>
          </w:p>
        </w:tc>
      </w:tr>
      <w:tr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DewesoftX</w:t>
            </w:r>
          </w:p>
        </w:tc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2477213 / PULSE N.2</w:t>
            </w:r>
          </w:p>
        </w:tc>
      </w:tr>
      <w:tr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Impedance Tube Type 4206</w:t>
            </w:r>
          </w:p>
        </w:tc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2681869</w:t>
            </w:r>
          </w:p>
        </w:tc>
      </w:tr>
      <w:tr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Desktop PC with Software and Peripheral Equipment</w:t>
            </w:r>
          </w:p>
        </w:tc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21329</w:t>
            </w:r>
          </w:p>
        </w:tc>
      </w:tr>
      <w:tr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Two ¼” Condenser Microphones Type 4187</w:t>
            </w:r>
          </w:p>
        </w:tc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2677390 &amp; 2677391</w:t>
            </w:r>
          </w:p>
        </w:tc>
      </w:tr>
      <w:tr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Power Amplifier</w:t>
            </w:r>
          </w:p>
        </w:tc>
        <w:tc>
          <w:tcPr>
            <w:tcW w:type="dxa" w:w="4703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129003364</w:t>
            </w:r>
          </w:p>
        </w:tc>
      </w:tr>
    </w:tbl>
    <w:p>
      <w:pPr>
        <w:jc w:val="left"/>
      </w:pPr>
      <w:r>
        <w:rPr>
          <w:rFonts w:ascii="Arial" w:hAnsi="Arial"/>
          <w:i/>
          <w:sz w:val="18"/>
        </w:rPr>
        <w:t>Table 1: List of equipment.</w:t>
      </w:r>
    </w:p>
    <w:p>
      <w:r>
        <w:rPr>
          <w:rFonts w:ascii="Arial" w:hAnsi="Arial"/>
          <w:b/>
          <w:sz w:val="22"/>
        </w:rPr>
        <w:t>2.3. Calculations</w:t>
      </w:r>
    </w:p>
    <w:p>
      <w:r>
        <w:rPr>
          <w:rFonts w:ascii="Arial" w:hAnsi="Arial"/>
          <w:sz w:val="20"/>
        </w:rPr>
        <w:t>Absorption coefficient α is calculated from reflection coefficient R:</w:t>
      </w:r>
    </w:p>
    <w:p>
      <w:pPr>
        <w:ind w:left="567"/>
      </w:pPr>
      <w:r>
        <w:rPr>
          <w:rFonts w:ascii="Arial" w:hAnsi="Arial"/>
          <w:i/>
          <w:sz w:val="20"/>
        </w:rPr>
        <w:t>α = 1 - |R|²</w:t>
      </w:r>
    </w:p>
    <w:p>
      <w:r>
        <w:rPr>
          <w:rFonts w:ascii="Arial" w:hAnsi="Arial"/>
          <w:sz w:val="20"/>
        </w:rPr>
        <w:t>R is derived from the measured transfer function H₁₂ of the two microphones.</w:t>
      </w:r>
    </w:p>
    <w:p>
      <w:r>
        <w:rPr>
          <w:rFonts w:ascii="Arial" w:hAnsi="Arial"/>
          <w:b/>
          <w:sz w:val="24"/>
        </w:rPr>
        <w:t>3.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51"/>
        <w:gridCol w:w="2351"/>
        <w:gridCol w:w="2351"/>
        <w:gridCol w:w="2351"/>
      </w:tblGrid>
      <w:tr>
        <w:tc>
          <w:tcPr>
            <w:tcW w:type="dxa" w:w="2351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Frequency</w:t>
              <w:br/>
              <w:t>Hz</w:t>
            </w:r>
          </w:p>
        </w:tc>
        <w:tc>
          <w:tcPr>
            <w:tcW w:type="dxa" w:w="2351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αₙ (tube Ø100 mm)</w:t>
            </w:r>
          </w:p>
        </w:tc>
        <w:tc>
          <w:tcPr>
            <w:tcW w:type="dxa" w:w="2351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αₙ (tube Ø29 mm)</w:t>
            </w:r>
          </w:p>
        </w:tc>
        <w:tc>
          <w:tcPr>
            <w:tcW w:type="dxa" w:w="2351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αₙ (combined)</w:t>
            </w:r>
          </w:p>
        </w:tc>
      </w:tr>
      <w:tr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</w:t>
            </w:r>
          </w:p>
        </w:tc>
      </w:tr>
      <w:tr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</w:t>
            </w:r>
          </w:p>
        </w:tc>
      </w:tr>
      <w:tr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125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</w:t>
            </w:r>
          </w:p>
        </w:tc>
      </w:tr>
      <w:tr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160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</w:t>
            </w:r>
          </w:p>
        </w:tc>
      </w:tr>
      <w:tr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200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</w:t>
            </w:r>
          </w:p>
        </w:tc>
        <w:tc>
          <w:tcPr>
            <w:tcW w:type="dxa" w:w="2351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i/>
          <w:sz w:val="20"/>
        </w:rPr>
        <w:t>Figure 1: Absorption Coeficent vs Frequency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