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20" w:line="240" w:lineRule="auto"/>
        <w:jc w:val="left"/>
      </w:pPr>
      <w:r>
        <w:t>Ejercicio 03</w:t>
      </w:r>
    </w:p>
    <w:p>
      <w:pPr>
        <w:spacing w:before="0" w:after="120" w:line="259" w:lineRule="auto"/>
        <w:jc w:val="both"/>
      </w:pPr>
      <w:r>
        <w:t>Corpus público y clasificador de texto reproducible</w:t>
      </w:r>
    </w:p>
    <w:p>
      <w:pPr>
        <w:spacing w:before="0" w:after="40" w:line="259" w:lineRule="auto"/>
        <w:jc w:val="both"/>
      </w:pPr>
      <w:r>
        <w:t>Autor: Victor Elvis Lorenzo     |     Ejecución: 20 octubre 2026</w:t>
      </w:r>
    </w:p>
    <w:p>
      <w:pPr>
        <w:spacing w:before="0" w:after="100" w:line="259" w:lineRule="auto"/>
        <w:jc w:val="both"/>
      </w:pPr>
      <w:r>
        <w:t>Repositorio de entrega: https://github.com/Vic-developers/-Unidad-02.-Ejercicio-03..</w:t>
      </w:r>
    </w:p>
    <w:p>
      <w:pPr>
        <w:pStyle w:val="Heading2"/>
        <w:spacing w:before="60" w:after="60" w:line="259" w:lineRule="auto"/>
        <w:jc w:val="left"/>
      </w:pPr>
      <w:r>
        <w:t>Pregunta</w:t>
      </w:r>
    </w:p>
    <w:p>
      <w:pPr>
        <w:spacing w:before="0" w:after="100" w:line="259" w:lineRule="auto"/>
        <w:jc w:val="both"/>
      </w:pPr>
      <w:r>
        <w:t>¿Cómo se comparan TF-IDF con Complement Naive Bayes y regresión logística para clasificar SMS legítimos (ham) y spam cuando se retiran textos duplicados antes de separar entrenamiento y prueba?</w:t>
      </w:r>
    </w:p>
    <w:tbl>
      <w:tblPr>
        <w:tblW w:type="auto" w:w="0"/>
        <w:jc w:val="center"/>
        <w:tblLayout w:type="fixed"/>
        <w:tblLook w:firstColumn="1" w:firstRow="1" w:lastColumn="0" w:lastRow="0" w:noHBand="0" w:noVBand="1" w:val="04A0"/>
        <w:tblBorders>
          <w:top w:val="single" w:sz="5" w:color="B8B8B8"/>
          <w:left w:val="single" w:sz="5" w:color="B8B8B8"/>
          <w:bottom w:val="single" w:sz="5" w:color="B8B8B8"/>
          <w:right w:val="single" w:sz="5" w:color="B8B8B8"/>
          <w:insideH w:val="single" w:sz="5" w:color="B8B8B8"/>
          <w:insideV w:val="single" w:sz="5" w:color="B8B8B8"/>
        </w:tblBorders>
      </w:tblPr>
      <w:tblGrid>
        <w:gridCol w:w="2621"/>
        <w:gridCol w:w="2621"/>
        <w:gridCol w:w="2621"/>
        <w:gridCol w:w="2621"/>
      </w:tblGrid>
      <w:tr>
        <w:tc>
          <w:tcPr>
            <w:tcW w:type="dxa" w:w="2642"/>
            <w:vAlign w:val="center"/>
            <w:shd w:fill="EAEAEA"/>
            <w:tcMar>
              <w:top w:w="60" w:type="dxa"/>
              <w:start w:w="85" w:type="dxa"/>
              <w:bottom w:w="60" w:type="dxa"/>
              <w:end w:w="85" w:type="dxa"/>
            </w:tcMar>
          </w:tcPr>
          <w:p>
            <w:pPr>
              <w:spacing w:after="0" w:before="0" w:line="240" w:lineRule="auto"/>
              <w:jc w:val="center"/>
            </w:pPr>
            <w:r/>
            <w:r>
              <w:rPr>
                <w:rFonts w:ascii="Arial" w:hAnsi="Arial"/>
                <w:b/>
                <w:color w:val="202020"/>
                <w:sz w:val="28"/>
              </w:rPr>
              <w:t>5,572</w:t>
            </w:r>
          </w:p>
        </w:tc>
        <w:tc>
          <w:tcPr>
            <w:tcW w:type="dxa" w:w="2642"/>
            <w:vAlign w:val="center"/>
            <w:shd w:fill="EAEAEA"/>
            <w:tcMar>
              <w:top w:w="60" w:type="dxa"/>
              <w:start w:w="85" w:type="dxa"/>
              <w:bottom w:w="60" w:type="dxa"/>
              <w:end w:w="85" w:type="dxa"/>
            </w:tcMar>
          </w:tcPr>
          <w:p>
            <w:pPr>
              <w:spacing w:after="0" w:before="0" w:line="240" w:lineRule="auto"/>
              <w:jc w:val="center"/>
            </w:pPr>
            <w:r/>
            <w:r>
              <w:rPr>
                <w:rFonts w:ascii="Arial" w:hAnsi="Arial"/>
                <w:b/>
                <w:color w:val="202020"/>
                <w:sz w:val="28"/>
              </w:rPr>
              <w:t>415</w:t>
            </w:r>
          </w:p>
        </w:tc>
        <w:tc>
          <w:tcPr>
            <w:tcW w:type="dxa" w:w="2642"/>
            <w:vAlign w:val="center"/>
            <w:shd w:fill="EAEAEA"/>
            <w:tcMar>
              <w:top w:w="60" w:type="dxa"/>
              <w:start w:w="85" w:type="dxa"/>
              <w:bottom w:w="60" w:type="dxa"/>
              <w:end w:w="85" w:type="dxa"/>
            </w:tcMar>
          </w:tcPr>
          <w:p>
            <w:pPr>
              <w:spacing w:after="0" w:before="0" w:line="240" w:lineRule="auto"/>
              <w:jc w:val="center"/>
            </w:pPr>
            <w:r/>
            <w:r>
              <w:rPr>
                <w:rFonts w:ascii="Arial" w:hAnsi="Arial"/>
                <w:b/>
                <w:color w:val="202020"/>
                <w:sz w:val="28"/>
              </w:rPr>
              <w:t>3,867 / 1,290</w:t>
            </w:r>
          </w:p>
        </w:tc>
        <w:tc>
          <w:tcPr>
            <w:tcW w:type="dxa" w:w="2642"/>
            <w:vAlign w:val="center"/>
            <w:shd w:fill="EAEAEA"/>
            <w:tcMar>
              <w:top w:w="60" w:type="dxa"/>
              <w:start w:w="85" w:type="dxa"/>
              <w:bottom w:w="60" w:type="dxa"/>
              <w:end w:w="85" w:type="dxa"/>
            </w:tcMar>
          </w:tcPr>
          <w:p>
            <w:pPr>
              <w:spacing w:after="0" w:before="0" w:line="240" w:lineRule="auto"/>
              <w:jc w:val="center"/>
            </w:pPr>
            <w:r/>
            <w:r>
              <w:rPr>
                <w:rFonts w:ascii="Arial" w:hAnsi="Arial"/>
                <w:b/>
                <w:color w:val="202020"/>
                <w:sz w:val="28"/>
              </w:rPr>
              <w:t>0.960</w:t>
            </w:r>
          </w:p>
        </w:tc>
      </w:tr>
      <w:tr>
        <w:tc>
          <w:tcPr>
            <w:tcW w:type="dxa" w:w="2642"/>
            <w:vAlign w:val="center"/>
            <w:shd w:fill="F3F3F3"/>
            <w:tcMar>
              <w:top w:w="60" w:type="dxa"/>
              <w:start w:w="85" w:type="dxa"/>
              <w:bottom w:w="60" w:type="dxa"/>
              <w:end w:w="85" w:type="dxa"/>
            </w:tcMar>
          </w:tcPr>
          <w:p>
            <w:pPr>
              <w:spacing w:after="0" w:before="0" w:line="240" w:lineRule="auto"/>
              <w:jc w:val="center"/>
            </w:pPr>
            <w:r/>
            <w:r>
              <w:rPr>
                <w:rFonts w:ascii="Arial" w:hAnsi="Arial"/>
                <w:b w:val="0"/>
                <w:color w:val="555555"/>
                <w:sz w:val="14"/>
              </w:rPr>
              <w:t>mensajes auditados</w:t>
            </w:r>
          </w:p>
        </w:tc>
        <w:tc>
          <w:tcPr>
            <w:tcW w:type="dxa" w:w="2642"/>
            <w:vAlign w:val="center"/>
            <w:shd w:fill="F3F3F3"/>
            <w:tcMar>
              <w:top w:w="60" w:type="dxa"/>
              <w:start w:w="85" w:type="dxa"/>
              <w:bottom w:w="60" w:type="dxa"/>
              <w:end w:w="85" w:type="dxa"/>
            </w:tcMar>
          </w:tcPr>
          <w:p>
            <w:pPr>
              <w:spacing w:after="0" w:before="0" w:line="240" w:lineRule="auto"/>
              <w:jc w:val="center"/>
            </w:pPr>
            <w:r/>
            <w:r>
              <w:rPr>
                <w:rFonts w:ascii="Arial" w:hAnsi="Arial"/>
                <w:b w:val="0"/>
                <w:color w:val="555555"/>
                <w:sz w:val="14"/>
              </w:rPr>
              <w:t>repeticiones retiradas</w:t>
            </w:r>
          </w:p>
        </w:tc>
        <w:tc>
          <w:tcPr>
            <w:tcW w:type="dxa" w:w="2642"/>
            <w:vAlign w:val="center"/>
            <w:shd w:fill="F3F3F3"/>
            <w:tcMar>
              <w:top w:w="60" w:type="dxa"/>
              <w:start w:w="85" w:type="dxa"/>
              <w:bottom w:w="60" w:type="dxa"/>
              <w:end w:w="85" w:type="dxa"/>
            </w:tcMar>
          </w:tcPr>
          <w:p>
            <w:pPr>
              <w:spacing w:after="0" w:before="0" w:line="240" w:lineRule="auto"/>
              <w:jc w:val="center"/>
            </w:pPr>
            <w:r/>
            <w:r>
              <w:rPr>
                <w:rFonts w:ascii="Arial" w:hAnsi="Arial"/>
                <w:b w:val="0"/>
                <w:color w:val="555555"/>
                <w:sz w:val="14"/>
              </w:rPr>
              <w:t>entrenamiento / prueba</w:t>
            </w:r>
          </w:p>
        </w:tc>
        <w:tc>
          <w:tcPr>
            <w:tcW w:type="dxa" w:w="2642"/>
            <w:vAlign w:val="center"/>
            <w:shd w:fill="F3F3F3"/>
            <w:tcMar>
              <w:top w:w="60" w:type="dxa"/>
              <w:start w:w="85" w:type="dxa"/>
              <w:bottom w:w="60" w:type="dxa"/>
              <w:end w:w="85" w:type="dxa"/>
            </w:tcMar>
          </w:tcPr>
          <w:p>
            <w:pPr>
              <w:spacing w:after="0" w:before="0" w:line="240" w:lineRule="auto"/>
              <w:jc w:val="center"/>
            </w:pPr>
            <w:r/>
            <w:r>
              <w:rPr>
                <w:rFonts w:ascii="Arial" w:hAnsi="Arial"/>
                <w:b w:val="0"/>
                <w:color w:val="555555"/>
                <w:sz w:val="14"/>
              </w:rPr>
              <w:t>F1 macro del mejor</w:t>
            </w:r>
          </w:p>
        </w:tc>
      </w:tr>
    </w:tbl>
    <w:p>
      <w:pPr>
        <w:pStyle w:val="Heading2"/>
        <w:spacing w:before="100" w:after="60" w:line="259" w:lineRule="auto"/>
        <w:jc w:val="left"/>
      </w:pPr>
      <w:r>
        <w:t>Corpus y decisiones</w:t>
      </w:r>
    </w:p>
    <w:p>
      <w:pPr>
        <w:spacing w:before="0" w:after="80" w:line="259" w:lineRule="auto"/>
        <w:jc w:val="both"/>
      </w:pPr>
      <w:r>
        <w:t>SMS Spam Collection, UCI Machine Learning Repository, DOI 10.24432/C5CC84, licencia CC BY 4.0. El ZIP y su huella SHA-256 se incluyen en la entrega. La colección contiene mensajes en inglés con etiquetas ham/spam.</w:t>
      </w:r>
    </w:p>
    <w:p>
      <w:pPr>
        <w:spacing w:before="0" w:after="80" w:line="259" w:lineRule="auto"/>
        <w:jc w:val="both"/>
      </w:pPr>
      <w:r>
        <w:t>Distribución: 4,825 ham y 747 spam. Sin faltantes ni etiquetas en conflicto. Se detectaron 403 duplicados exactos y 12 coincidencias adicionales tras normalizar mayúsculas/espacios. Se conservó una fila por texto normalizado antes del split; el split fue estratificado 75/25 con semilla 42.</w:t>
      </w:r>
    </w:p>
    <w:p>
      <w:pPr>
        <w:pStyle w:val="Heading2"/>
        <w:spacing w:before="60" w:after="60" w:line="259" w:lineRule="auto"/>
        <w:jc w:val="left"/>
      </w:pPr>
      <w:r>
        <w:t>Comparación en el mismo split</w:t>
      </w:r>
    </w:p>
    <w:tbl>
      <w:tblPr>
        <w:tblW w:type="dxa" w:w="9576"/>
        <w:jc w:val="center"/>
        <w:tblLayout w:type="fixed"/>
        <w:tblLook w:firstColumn="1" w:firstRow="1" w:lastColumn="0" w:lastRow="0" w:noHBand="0" w:noVBand="1" w:val="04A0"/>
        <w:tblBorders>
          <w:top w:val="single" w:sz="5" w:color="B8B8B8"/>
          <w:left w:val="single" w:sz="5" w:color="B8B8B8"/>
          <w:bottom w:val="single" w:sz="5" w:color="B8B8B8"/>
          <w:right w:val="single" w:sz="5" w:color="B8B8B8"/>
          <w:insideH w:val="single" w:sz="5" w:color="B8B8B8"/>
          <w:insideV w:val="single" w:sz="5" w:color="B8B8B8"/>
        </w:tblBorders>
      </w:tblPr>
      <w:tblGrid>
        <w:gridCol w:w="6120"/>
        <w:gridCol w:w="1728"/>
        <w:gridCol w:w="1728"/>
      </w:tblGrid>
      <w:tr>
        <w:tc>
          <w:tcPr>
            <w:tcW w:type="dxa" w:w="6120"/>
            <w:vAlign w:val="center"/>
            <w:shd w:fill="252525"/>
            <w:tcMar>
              <w:top w:w="60" w:type="dxa"/>
              <w:start w:w="85" w:type="dxa"/>
              <w:bottom w:w="60" w:type="dxa"/>
              <w:end w:w="85" w:type="dxa"/>
            </w:tcMar>
          </w:tcPr>
          <w:p>
            <w:pPr>
              <w:spacing w:after="0" w:before="0" w:line="240" w:lineRule="auto"/>
              <w:jc w:val="left"/>
            </w:pPr>
            <w:r/>
            <w:r>
              <w:rPr>
                <w:rFonts w:ascii="Arial" w:hAnsi="Arial"/>
                <w:b/>
                <w:color w:val="FFFFFF"/>
                <w:sz w:val="16"/>
              </w:rPr>
              <w:t>Pipeline</w:t>
            </w:r>
          </w:p>
        </w:tc>
        <w:tc>
          <w:tcPr>
            <w:tcW w:type="dxa" w:w="1728"/>
            <w:vAlign w:val="center"/>
            <w:shd w:fill="252525"/>
            <w:tcMar>
              <w:top w:w="60" w:type="dxa"/>
              <w:start w:w="85" w:type="dxa"/>
              <w:bottom w:w="60" w:type="dxa"/>
              <w:end w:w="85" w:type="dxa"/>
            </w:tcMar>
          </w:tcPr>
          <w:p>
            <w:pPr>
              <w:spacing w:after="0" w:before="0" w:line="240" w:lineRule="auto"/>
              <w:jc w:val="left"/>
            </w:pPr>
            <w:r/>
            <w:r>
              <w:rPr>
                <w:rFonts w:ascii="Arial" w:hAnsi="Arial"/>
                <w:b/>
                <w:color w:val="FFFFFF"/>
                <w:sz w:val="16"/>
              </w:rPr>
              <w:t>F1 macro</w:t>
            </w:r>
          </w:p>
        </w:tc>
        <w:tc>
          <w:tcPr>
            <w:tcW w:type="dxa" w:w="1728"/>
            <w:vAlign w:val="center"/>
            <w:shd w:fill="252525"/>
            <w:tcMar>
              <w:top w:w="60" w:type="dxa"/>
              <w:start w:w="85" w:type="dxa"/>
              <w:bottom w:w="60" w:type="dxa"/>
              <w:end w:w="85" w:type="dxa"/>
            </w:tcMar>
          </w:tcPr>
          <w:p>
            <w:pPr>
              <w:spacing w:after="0" w:before="0" w:line="240" w:lineRule="auto"/>
              <w:jc w:val="left"/>
            </w:pPr>
            <w:r/>
            <w:r>
              <w:rPr>
                <w:rFonts w:ascii="Arial" w:hAnsi="Arial"/>
                <w:b/>
                <w:color w:val="FFFFFF"/>
                <w:sz w:val="16"/>
              </w:rPr>
              <w:t>Exactitud</w:t>
            </w:r>
          </w:p>
        </w:tc>
      </w:tr>
      <w:tr>
        <w:tc>
          <w:tcPr>
            <w:tcW w:type="dxa" w:w="6120"/>
            <w:vAlign w:val="center"/>
            <w:tcMar>
              <w:top w:w="60" w:type="dxa"/>
              <w:start w:w="85" w:type="dxa"/>
              <w:bottom w:w="60" w:type="dxa"/>
              <w:end w:w="85" w:type="dxa"/>
            </w:tcMar>
          </w:tcPr>
          <w:p>
            <w:pPr>
              <w:spacing w:after="0" w:before="0" w:line="240" w:lineRule="auto"/>
              <w:jc w:val="both"/>
            </w:pPr>
            <w:r/>
            <w:r>
              <w:rPr>
                <w:rFonts w:ascii="Arial" w:hAnsi="Arial"/>
                <w:b w:val="0"/>
                <w:color w:val="202020"/>
                <w:sz w:val="16"/>
              </w:rPr>
              <w:t>TF-IDF + regresión logística</w:t>
            </w:r>
          </w:p>
        </w:tc>
        <w:tc>
          <w:tcPr>
            <w:tcW w:type="dxa" w:w="1728"/>
            <w:vAlign w:val="center"/>
            <w:tcMar>
              <w:top w:w="60" w:type="dxa"/>
              <w:start w:w="85" w:type="dxa"/>
              <w:bottom w:w="60" w:type="dxa"/>
              <w:end w:w="85" w:type="dxa"/>
            </w:tcMar>
          </w:tcPr>
          <w:p>
            <w:pPr>
              <w:spacing w:after="0" w:before="0" w:line="240" w:lineRule="auto"/>
              <w:jc w:val="right"/>
            </w:pPr>
            <w:r/>
            <w:r>
              <w:rPr>
                <w:rFonts w:ascii="Arial" w:hAnsi="Arial"/>
                <w:b w:val="0"/>
                <w:color w:val="202020"/>
                <w:sz w:val="16"/>
              </w:rPr>
              <w:t>0.959727</w:t>
            </w:r>
          </w:p>
        </w:tc>
        <w:tc>
          <w:tcPr>
            <w:tcW w:type="dxa" w:w="1728"/>
            <w:vAlign w:val="center"/>
            <w:tcMar>
              <w:top w:w="60" w:type="dxa"/>
              <w:start w:w="85" w:type="dxa"/>
              <w:bottom w:w="60" w:type="dxa"/>
              <w:end w:w="85" w:type="dxa"/>
            </w:tcMar>
          </w:tcPr>
          <w:p>
            <w:pPr>
              <w:spacing w:after="0" w:before="0" w:line="240" w:lineRule="auto"/>
              <w:jc w:val="right"/>
            </w:pPr>
            <w:r/>
            <w:r>
              <w:rPr>
                <w:rFonts w:ascii="Arial" w:hAnsi="Arial"/>
                <w:b w:val="0"/>
                <w:color w:val="202020"/>
                <w:sz w:val="16"/>
              </w:rPr>
              <w:t>0.982171</w:t>
            </w:r>
          </w:p>
        </w:tc>
      </w:tr>
      <w:tr>
        <w:tc>
          <w:tcPr>
            <w:tcW w:type="dxa" w:w="6120"/>
            <w:vAlign w:val="center"/>
            <w:shd w:fill="EEEEEE"/>
            <w:tcMar>
              <w:top w:w="60" w:type="dxa"/>
              <w:start w:w="85" w:type="dxa"/>
              <w:bottom w:w="60" w:type="dxa"/>
              <w:end w:w="85" w:type="dxa"/>
            </w:tcMar>
          </w:tcPr>
          <w:p>
            <w:pPr>
              <w:spacing w:after="0" w:before="0" w:line="240" w:lineRule="auto"/>
              <w:jc w:val="both"/>
            </w:pPr>
            <w:r/>
            <w:r>
              <w:rPr>
                <w:rFonts w:ascii="Arial" w:hAnsi="Arial"/>
                <w:b w:val="0"/>
                <w:color w:val="202020"/>
                <w:sz w:val="16"/>
              </w:rPr>
              <w:t>TF-IDF + Complement Naive Bayes</w:t>
            </w:r>
          </w:p>
        </w:tc>
        <w:tc>
          <w:tcPr>
            <w:tcW w:type="dxa" w:w="1728"/>
            <w:vAlign w:val="center"/>
            <w:shd w:fill="EEEEEE"/>
            <w:tcMar>
              <w:top w:w="60" w:type="dxa"/>
              <w:start w:w="85" w:type="dxa"/>
              <w:bottom w:w="60" w:type="dxa"/>
              <w:end w:w="85" w:type="dxa"/>
            </w:tcMar>
          </w:tcPr>
          <w:p>
            <w:pPr>
              <w:spacing w:after="0" w:before="0" w:line="240" w:lineRule="auto"/>
              <w:jc w:val="right"/>
            </w:pPr>
            <w:r/>
            <w:r>
              <w:rPr>
                <w:rFonts w:ascii="Arial" w:hAnsi="Arial"/>
                <w:b w:val="0"/>
                <w:color w:val="202020"/>
                <w:sz w:val="16"/>
              </w:rPr>
              <w:t>0.953372</w:t>
            </w:r>
          </w:p>
        </w:tc>
        <w:tc>
          <w:tcPr>
            <w:tcW w:type="dxa" w:w="1728"/>
            <w:vAlign w:val="center"/>
            <w:shd w:fill="EEEEEE"/>
            <w:tcMar>
              <w:top w:w="60" w:type="dxa"/>
              <w:start w:w="85" w:type="dxa"/>
              <w:bottom w:w="60" w:type="dxa"/>
              <w:end w:w="85" w:type="dxa"/>
            </w:tcMar>
          </w:tcPr>
          <w:p>
            <w:pPr>
              <w:spacing w:after="0" w:before="0" w:line="240" w:lineRule="auto"/>
              <w:jc w:val="right"/>
            </w:pPr>
            <w:r/>
            <w:r>
              <w:rPr>
                <w:rFonts w:ascii="Arial" w:hAnsi="Arial"/>
                <w:b w:val="0"/>
                <w:color w:val="202020"/>
                <w:sz w:val="16"/>
              </w:rPr>
              <w:t>0.979845</w:t>
            </w:r>
          </w:p>
        </w:tc>
      </w:tr>
      <w:tr>
        <w:tc>
          <w:tcPr>
            <w:tcW w:type="dxa" w:w="6120"/>
            <w:vAlign w:val="center"/>
            <w:tcMar>
              <w:top w:w="60" w:type="dxa"/>
              <w:start w:w="85" w:type="dxa"/>
              <w:bottom w:w="60" w:type="dxa"/>
              <w:end w:w="85" w:type="dxa"/>
            </w:tcMar>
          </w:tcPr>
          <w:p>
            <w:pPr>
              <w:spacing w:after="0" w:before="0" w:line="240" w:lineRule="auto"/>
              <w:jc w:val="both"/>
            </w:pPr>
            <w:r/>
            <w:r>
              <w:rPr>
                <w:rFonts w:ascii="Arial" w:hAnsi="Arial"/>
                <w:b w:val="0"/>
                <w:color w:val="202020"/>
                <w:sz w:val="16"/>
              </w:rPr>
              <w:t>Baseline Dummy mayoritario</w:t>
            </w:r>
          </w:p>
        </w:tc>
        <w:tc>
          <w:tcPr>
            <w:tcW w:type="dxa" w:w="1728"/>
            <w:vAlign w:val="center"/>
            <w:tcMar>
              <w:top w:w="60" w:type="dxa"/>
              <w:start w:w="85" w:type="dxa"/>
              <w:bottom w:w="60" w:type="dxa"/>
              <w:end w:w="85" w:type="dxa"/>
            </w:tcMar>
          </w:tcPr>
          <w:p>
            <w:pPr>
              <w:spacing w:after="0" w:before="0" w:line="240" w:lineRule="auto"/>
              <w:jc w:val="right"/>
            </w:pPr>
            <w:r/>
            <w:r>
              <w:rPr>
                <w:rFonts w:ascii="Arial" w:hAnsi="Arial"/>
                <w:b w:val="0"/>
                <w:color w:val="202020"/>
                <w:sz w:val="16"/>
              </w:rPr>
              <w:t>0.466722</w:t>
            </w:r>
          </w:p>
        </w:tc>
        <w:tc>
          <w:tcPr>
            <w:tcW w:type="dxa" w:w="1728"/>
            <w:vAlign w:val="center"/>
            <w:tcMar>
              <w:top w:w="60" w:type="dxa"/>
              <w:start w:w="85" w:type="dxa"/>
              <w:bottom w:w="60" w:type="dxa"/>
              <w:end w:w="85" w:type="dxa"/>
            </w:tcMar>
          </w:tcPr>
          <w:p>
            <w:pPr>
              <w:spacing w:after="0" w:before="0" w:line="240" w:lineRule="auto"/>
              <w:jc w:val="right"/>
            </w:pPr>
            <w:r/>
            <w:r>
              <w:rPr>
                <w:rFonts w:ascii="Arial" w:hAnsi="Arial"/>
                <w:b w:val="0"/>
                <w:color w:val="202020"/>
                <w:sz w:val="16"/>
              </w:rPr>
              <w:t>0.875194</w:t>
            </w:r>
          </w:p>
        </w:tc>
      </w:tr>
    </w:tbl>
    <w:p>
      <w:pPr>
        <w:spacing w:before="0" w:after="40" w:line="259" w:lineRule="auto"/>
        <w:jc w:val="both"/>
      </w:pPr>
      <w:r>
        <w:t>Resultado: TF-IDF + regresión logística fue el mejor en esta partición. En spam, precision=0.916, recall=0.944 y F1=0.930; quedan 9 falsos negativos y 14 falsos positivos.</w:t>
      </w:r>
    </w:p>
    <w:p>
      <w:pPr>
        <w:spacing w:before="0" w:after="0" w:line="240" w:lineRule="auto"/>
        <w:jc w:val="center"/>
      </w:pPr>
      <w:r>
        <w:drawing>
          <wp:inline xmlns:a="http://schemas.openxmlformats.org/drawingml/2006/main" xmlns:pic="http://schemas.openxmlformats.org/drawingml/2006/picture">
            <wp:extent cx="6035040" cy="2271616"/>
            <wp:docPr id="1" name="Picture 1"/>
            <wp:cNvGraphicFramePr>
              <a:graphicFrameLocks noChangeAspect="1"/>
            </wp:cNvGraphicFramePr>
            <a:graphic>
              <a:graphicData uri="http://schemas.openxmlformats.org/drawingml/2006/picture">
                <pic:pic>
                  <pic:nvPicPr>
                    <pic:cNvPr id="0" name="corpus_profile.png"/>
                    <pic:cNvPicPr/>
                  </pic:nvPicPr>
                  <pic:blipFill>
                    <a:blip r:embed="rId10"/>
                    <a:stretch>
                      <a:fillRect/>
                    </a:stretch>
                  </pic:blipFill>
                  <pic:spPr>
                    <a:xfrm>
                      <a:off x="0" y="0"/>
                      <a:ext cx="6035040" cy="2271616"/>
                    </a:xfrm>
                    <a:prstGeom prst="rect"/>
                  </pic:spPr>
                </pic:pic>
              </a:graphicData>
            </a:graphic>
          </wp:inline>
        </w:drawing>
      </w:r>
    </w:p>
    <w:p>
      <w:r>
        <w:br w:type="page"/>
      </w:r>
    </w:p>
    <w:p>
      <w:pPr>
        <w:pStyle w:val="Heading1"/>
        <w:spacing w:before="0" w:after="80" w:line="240" w:lineRule="auto"/>
        <w:jc w:val="left"/>
      </w:pPr>
      <w:r>
        <w:t>Evaluación y lectura de errores</w:t>
      </w:r>
    </w:p>
    <w:p>
      <w:pPr>
        <w:spacing w:before="0" w:after="100" w:line="259" w:lineRule="auto"/>
        <w:jc w:val="both"/>
      </w:pPr>
      <w:r>
        <w:t>Resultados observados en una nueva ejecución local; las cifras del informe previo no se reutilizaron como resultados ejecutados.</w:t>
      </w:r>
    </w:p>
    <w:p>
      <w:pPr>
        <w:pStyle w:val="Heading2"/>
        <w:spacing w:before="0" w:after="60" w:line="259" w:lineRule="auto"/>
        <w:jc w:val="left"/>
      </w:pPr>
      <w:r>
        <w:t>Evidencia de la prueba</w:t>
      </w:r>
    </w:p>
    <w:p>
      <w:pPr>
        <w:spacing w:before="0" w:after="40" w:line="259" w:lineRule="auto"/>
        <w:jc w:val="both"/>
      </w:pPr>
      <w:r>
        <w:t>El holdout incluye 1,290 mensajes: 1,129 ham y 161 spam. Matriz (filas = clase real ham/spam; columnas = predicción ham/spam): [[1115, 14], [9, 152]]. El F1 macro de regresión logística es 0.959727, frente a 0.953372 para Complement Naive Bayes y 0.466722 para Dummy.</w:t>
      </w:r>
    </w:p>
    <w:p>
      <w:pPr>
        <w:spacing w:before="0" w:after="60" w:line="240" w:lineRule="auto"/>
        <w:jc w:val="center"/>
      </w:pPr>
      <w:r>
        <w:drawing>
          <wp:inline xmlns:a="http://schemas.openxmlformats.org/drawingml/2006/main" xmlns:pic="http://schemas.openxmlformats.org/drawingml/2006/picture">
            <wp:extent cx="3931920" cy="2944579"/>
            <wp:docPr id="2" name="Picture 2"/>
            <wp:cNvGraphicFramePr>
              <a:graphicFrameLocks noChangeAspect="1"/>
            </wp:cNvGraphicFramePr>
            <a:graphic>
              <a:graphicData uri="http://schemas.openxmlformats.org/drawingml/2006/picture">
                <pic:pic>
                  <pic:nvPicPr>
                    <pic:cNvPr id="0" name="confusion_matrix.png"/>
                    <pic:cNvPicPr/>
                  </pic:nvPicPr>
                  <pic:blipFill>
                    <a:blip r:embed="rId11"/>
                    <a:stretch>
                      <a:fillRect/>
                    </a:stretch>
                  </pic:blipFill>
                  <pic:spPr>
                    <a:xfrm>
                      <a:off x="0" y="0"/>
                      <a:ext cx="3931920" cy="2944579"/>
                    </a:xfrm>
                    <a:prstGeom prst="rect"/>
                  </pic:spPr>
                </pic:pic>
              </a:graphicData>
            </a:graphic>
          </wp:inline>
        </w:drawing>
      </w:r>
    </w:p>
    <w:p>
      <w:pPr>
        <w:pStyle w:val="Heading2"/>
        <w:spacing w:before="0" w:after="60" w:line="259" w:lineRule="auto"/>
        <w:jc w:val="left"/>
      </w:pPr>
      <w:r>
        <w:t>Revisión cualitativa</w:t>
      </w:r>
    </w:p>
    <w:p>
      <w:pPr>
        <w:spacing w:before="0" w:after="80" w:line="259" w:lineRule="auto"/>
        <w:jc w:val="both"/>
      </w:pPr>
      <w:r>
        <w:t>El modelo produjo 23 errores en la prueba; se seleccionaron 20 para análisis: 11 ham predichos como spam y 9 spam predichos como ham. Las notas observan mensajes personales muy breves, ambigüedad de expresiones como free/message/offer, promociones con estilo conversacional, y contexto o humor ausente. La tabla está en reports/error_analysis.csv. Las 20 notas son preliminares, requieren revisión del estudiante y no estiman frecuencias poblacionales.</w:t>
      </w:r>
    </w:p>
    <w:p>
      <w:pPr>
        <w:pStyle w:val="Heading2"/>
        <w:spacing w:before="80" w:after="60" w:line="259" w:lineRule="auto"/>
        <w:jc w:val="left"/>
      </w:pPr>
      <w:r>
        <w:t>Interpretación y decisión</w:t>
      </w:r>
    </w:p>
    <w:p>
      <w:pPr>
        <w:spacing w:before="0" w:after="80" w:line="259" w:lineRule="auto"/>
        <w:jc w:val="both"/>
      </w:pPr>
      <w:r>
        <w:t>La regresión logística superó a Complement Naive Bayes por una diferencia pequeña de 0.0064 puntos de F1 macro. El recall de spam fue 0.944 (9 omisiones). Se conserva como mejor modelo de esta prueba, pero el resultado es un prototipo: un único split del corpus histórico en inglés no permite afirmar rendimiento en mensajes actuales, español dominicano u otros canales.</w:t>
      </w:r>
    </w:p>
    <w:p>
      <w:pPr>
        <w:pStyle w:val="Heading2"/>
        <w:spacing w:before="80" w:after="60" w:line="259" w:lineRule="auto"/>
        <w:jc w:val="left"/>
      </w:pPr>
      <w:r>
        <w:t>Reproducibilidad y uso de IA</w:t>
      </w:r>
    </w:p>
    <w:p>
      <w:pPr>
        <w:spacing w:before="0" w:after="80" w:line="259" w:lineRule="auto"/>
        <w:jc w:val="both"/>
      </w:pPr>
      <w:r>
        <w:t>El README documenta instalación, dependencias, pruebas y ejecución. La notebook guarda salidas; el código vuelve a calcular los reportes y las figuras. Se ejecutaron 5 pruebas automatizadas, todas aprobadas. Codex se utilizó como apoyo para corregir errores de código, proponer pruebas y revisar la redacción; también ayudó a preparar notas preliminares para interpretar errores. Prompt relevante: integrar LAB04 y LAB05 en una entrega ejecutable; la consigna exige que pueda correrse desde las instrucciones del repositorio. Se verificaron descarga, SHA-256, conteos, partición, métricas, matriz y tests. El estudiante debe revisar las 20 notas y poder explicar el trabajo. El repositorio enlazado contiene los archivos de esta entrega.</w:t>
      </w:r>
    </w:p>
    <w:p>
      <w:pPr>
        <w:spacing w:before="0" w:after="0" w:line="259" w:lineRule="auto"/>
        <w:jc w:val="both"/>
      </w:pPr>
      <w:r>
        <w:t>Fuentes: UCI Machine Learning Repository, SMS Spam Collection (CC BY 4.0), https://archive.ics.uci.edu/dataset/228/sms+spam+collection. Almeida, Hidalgo y Yamakami (2011), DOI 10.1145/2034691.2034742. Consulte README.md y docs/AI_USAGE.md para instrucciones y declaración ampliada.</w:t>
      </w:r>
    </w:p>
    <w:sectPr w:rsidR="00FC693F" w:rsidRPr="0006063C" w:rsidSect="00034616">
      <w:footerReference w:type="default" r:id="rId9"/>
      <w:pgSz w:w="12240" w:h="15840"/>
      <w:pgMar w:top="691" w:right="835" w:bottom="835" w:left="835"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368" w:val="left"/>
      </w:tabs>
      <w:spacing w:before="0" w:after="0"/>
      <w:jc w:val="left"/>
    </w:pPr>
    <w:r>
      <w:rPr>
        <w:rFonts w:ascii="Arial" w:hAnsi="Arial"/>
        <w:color w:val="555555"/>
        <w:sz w:val="15"/>
      </w:rPr>
      <w:t>INF8239 · Ejercicio 03 · UCI SMS Spam Collection</w:t>
    </w:r>
    <w:r>
      <w:tab/>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20202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rial" w:hAnsi="Arial"/>
      <w:b/>
      <w:bCs/>
      <w:color w:val="191919"/>
      <w:sz w:val="4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b/>
      <w:bCs/>
      <w:color w:val="19191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before="0"/>
      <w:contextualSpacing/>
    </w:pPr>
    <w:rPr>
      <w:rFonts w:asciiTheme="majorHAnsi" w:eastAsiaTheme="majorEastAsia" w:hAnsiTheme="majorHAnsi" w:cstheme="majorBidi" w:ascii="Arial" w:hAnsi="Arial"/>
      <w:b/>
      <w:color w:val="19191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Ejercicio 03 Corpus público y clasificador de texto reproducible</dc:title>
  <dc:subject/>
  <dc:creator>Victor Elvis Lorenzo</dc:creator>
  <cp:keywords/>
  <dc:description>generated by python-docx</dc:description>
  <cp:lastModifiedBy/>
  <cp:revision>1</cp:revision>
  <dcterms:created xsi:type="dcterms:W3CDTF">2013-12-23T23:15:00Z</dcterms:created>
  <dcterms:modified xsi:type="dcterms:W3CDTF">2013-12-23T23:15:00Z</dcterms:modified>
  <cp:category/>
</cp:coreProperties>
</file>