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 w:line="240" w:lineRule="auto"/>
        <w:jc w:val="center"/>
      </w:pPr>
      <w:r>
        <w:rPr>
          <w:rFonts w:ascii="Arial" w:hAnsi="Arial"/>
          <w:b/>
          <w:color w:val="000000"/>
          <w:sz w:val="38"/>
        </w:rPr>
        <w:t>Ejercicio 05</w:t>
        <w:br/>
        <w:t>Motor recomendador reproducible</w:t>
      </w:r>
    </w:p>
    <w:p>
      <w:pPr>
        <w:spacing w:line="240" w:lineRule="auto" w:after="400"/>
        <w:jc w:val="center"/>
      </w:pPr>
      <w:r>
        <w:rPr>
          <w:rFonts w:ascii="Arial" w:hAnsi="Arial"/>
          <w:sz w:val="22"/>
        </w:rPr>
        <w:t>INF-8239 · Unidad 03</w:t>
      </w:r>
    </w:p>
    <w:p>
      <w:pPr>
        <w:pStyle w:val="Heading2"/>
      </w:pPr>
      <w:r>
        <w:rPr>
          <w:color w:val="000000"/>
        </w:rPr>
        <w:t>Repositorio y entrega</w:t>
      </w:r>
    </w:p>
    <w:p>
      <w:pPr>
        <w:spacing w:line="480" w:lineRule="auto" w:after="100"/>
        <w:jc w:val="both"/>
      </w:pPr>
      <w:r>
        <w:t>Este informe resume la integración de LAB08 y LAB09: popularidad suavizada, similitud por contenido, factorización colaborativa, evaluación temporal, combinación híbrida, perfiles de usuario y rutas de fallback para usuarios fríos.</w:t>
      </w:r>
    </w:p>
    <w:p>
      <w:pPr>
        <w:spacing w:line="480" w:lineRule="auto" w:after="100"/>
        <w:jc w:val="both"/>
      </w:pPr>
      <w:r>
        <w:t>Repositorio: https://github.com/Vic-developers/Ejercicio-05-Motor-recomendador-reproducible</w:t>
      </w:r>
    </w:p>
    <w:p>
      <w:pPr>
        <w:pStyle w:val="Heading2"/>
      </w:pPr>
      <w:r>
        <w:rPr>
          <w:color w:val="000000"/>
        </w:rPr>
        <w:t>Datos y partición temporal</w:t>
      </w:r>
    </w:p>
    <w:p>
      <w:pPr>
        <w:spacing w:line="480" w:lineRule="auto" w:after="100"/>
        <w:jc w:val="both"/>
      </w:pPr>
      <w:r>
        <w:t>Se usó MovieLens Latest Small de GroupLens Research: 100,836 valoraciones, 9,742 películas, 610 usuarios y densidad 1.70%. SHA-256 del ZIP: 696d65a3dfceac7c45750ad32df2c259311949efec81f0f144fdfb91ebc9e436. El conjunto se descarga localmente y no se redistribuye.</w:t>
      </w:r>
    </w:p>
    <w:p>
      <w:pPr>
        <w:spacing w:line="480" w:lineRule="auto" w:after="100"/>
        <w:jc w:val="both"/>
      </w:pPr>
      <w:r>
        <w:t>Se retuvo el último evento por usuario (los empates de timestamp se ordenaron por movieId). De 610 eventos retenidos, 587 fueron elegibles porque usuario e ítem tenían representación en entrenamiento; 23 se excluyeron por falta de soporte. Los experimentos colaborativos usan tres semillas: 17, 42 y 73.</w:t>
      </w:r>
    </w:p>
    <w:p>
      <w:pPr>
        <w:pStyle w:val="Heading2"/>
      </w:pPr>
      <w:r>
        <w:rPr>
          <w:color w:val="000000"/>
        </w:rPr>
        <w:t>Métodos y resultados principales</w:t>
      </w:r>
    </w:p>
    <w:p>
      <w:pPr>
        <w:spacing w:line="480" w:lineRule="auto" w:after="100"/>
        <w:jc w:val="both"/>
      </w:pPr>
      <w:r>
        <w:t>Popularidad ordena por promedio bayesiano que combina la media del ítem con la media global y un umbral de evidencia (percentil 80 del conteo). Contenido representa géneros con TF-IDF y similitud coseno: mide coincidencia de metadatos, no gusto. El modelo colaborativo aproxima la matriz de ratings mediante factorización SGD. El híbrido combina puntuaciones colaborativa y de contenido; alpha controla el peso colaborativo. RMSE evalúa ratings, mientras HitRate@10 y cobertura evalúan ranking y exposición de catálogo.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037"/>
            <w:shd w:fill="17365D"/>
          </w:tcPr>
          <w:p>
            <w:r>
              <w:rPr>
                <w:b/>
                <w:color w:val="FFFFFF"/>
                <w:sz w:val="16"/>
              </w:rPr>
              <w:t>Config.</w:t>
            </w:r>
          </w:p>
        </w:tc>
        <w:tc>
          <w:tcPr>
            <w:tcW w:type="dxa" w:w="1843"/>
            <w:shd w:fill="17365D"/>
          </w:tcPr>
          <w:p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792"/>
            <w:shd w:fill="17365D"/>
          </w:tcPr>
          <w:p>
            <w:r>
              <w:rPr>
                <w:b/>
                <w:color w:val="FFFFFF"/>
                <w:sz w:val="16"/>
              </w:rPr>
              <w:t>RMSE</w:t>
            </w:r>
          </w:p>
        </w:tc>
        <w:tc>
          <w:tcPr>
            <w:tcW w:type="dxa" w:w="864"/>
            <w:shd w:fill="17365D"/>
          </w:tcPr>
          <w:p>
            <w:r>
              <w:rPr>
                <w:b/>
                <w:color w:val="FFFFFF"/>
                <w:sz w:val="16"/>
              </w:rPr>
              <w:t>HR@10</w:t>
            </w:r>
          </w:p>
        </w:tc>
        <w:tc>
          <w:tcPr>
            <w:tcW w:type="dxa" w:w="1037"/>
            <w:shd w:fill="17365D"/>
          </w:tcPr>
          <w:p>
            <w:r>
              <w:rPr>
                <w:b/>
                <w:color w:val="FFFFFF"/>
                <w:sz w:val="16"/>
              </w:rPr>
              <w:t>Cobertura</w:t>
            </w:r>
          </w:p>
        </w:tc>
        <w:tc>
          <w:tcPr>
            <w:tcW w:type="dxa" w:w="864"/>
            <w:shd w:fill="17365D"/>
          </w:tcPr>
          <w:p>
            <w:r>
              <w:rPr>
                <w:b/>
                <w:color w:val="FFFFFF"/>
                <w:sz w:val="16"/>
              </w:rPr>
              <w:t>Ajuste s</w:t>
            </w:r>
          </w:p>
        </w:tc>
        <w:tc>
          <w:tcPr>
            <w:tcW w:type="dxa" w:w="1181"/>
            <w:shd w:fill="17365D"/>
          </w:tcPr>
          <w:p>
            <w:r>
              <w:rPr>
                <w:b/>
                <w:color w:val="FFFFFF"/>
                <w:sz w:val="16"/>
              </w:rPr>
              <w:t>Parámetros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20f_12e</w:t>
            </w:r>
          </w:p>
        </w:tc>
        <w:tc>
          <w:tcPr>
            <w:tcW w:type="dxa" w:w="1843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Colaborativo</w:t>
            </w:r>
          </w:p>
        </w:tc>
        <w:tc>
          <w:tcPr>
            <w:tcW w:type="dxa" w:w="792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1.027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0.031</w:t>
            </w:r>
          </w:p>
        </w:tc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7.4%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13.6</w:t>
            </w:r>
          </w:p>
        </w:tc>
        <w:tc>
          <w:tcPr>
            <w:tcW w:type="dxa" w:w="1181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206,220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20f_12e</w:t>
            </w:r>
          </w:p>
        </w:tc>
        <w:tc>
          <w:tcPr>
            <w:tcW w:type="dxa" w:w="1843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Híbrido a=.25</w:t>
            </w:r>
          </w:p>
        </w:tc>
        <w:tc>
          <w:tcPr>
            <w:tcW w:type="dxa" w:w="792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1.027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0.029</w:t>
            </w:r>
          </w:p>
        </w:tc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10.4%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13.6</w:t>
            </w:r>
          </w:p>
        </w:tc>
        <w:tc>
          <w:tcPr>
            <w:tcW w:type="dxa" w:w="1181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206,220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20f_12e</w:t>
            </w:r>
          </w:p>
        </w:tc>
        <w:tc>
          <w:tcPr>
            <w:tcW w:type="dxa" w:w="1843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Híbrido a=.75</w:t>
            </w:r>
          </w:p>
        </w:tc>
        <w:tc>
          <w:tcPr>
            <w:tcW w:type="dxa" w:w="792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1.027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0.031</w:t>
            </w:r>
          </w:p>
        </w:tc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7.6%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13.6</w:t>
            </w:r>
          </w:p>
        </w:tc>
        <w:tc>
          <w:tcPr>
            <w:tcW w:type="dxa" w:w="1181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206,220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20f_6e</w:t>
            </w:r>
          </w:p>
        </w:tc>
        <w:tc>
          <w:tcPr>
            <w:tcW w:type="dxa" w:w="1843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Colaborativo</w:t>
            </w:r>
          </w:p>
        </w:tc>
        <w:tc>
          <w:tcPr>
            <w:tcW w:type="dxa" w:w="792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1.101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0.020</w:t>
            </w:r>
          </w:p>
        </w:tc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18.2%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6.8</w:t>
            </w:r>
          </w:p>
        </w:tc>
        <w:tc>
          <w:tcPr>
            <w:tcW w:type="dxa" w:w="1181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206,220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20f_6e</w:t>
            </w:r>
          </w:p>
        </w:tc>
        <w:tc>
          <w:tcPr>
            <w:tcW w:type="dxa" w:w="1843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Híbrido a=.25</w:t>
            </w:r>
          </w:p>
        </w:tc>
        <w:tc>
          <w:tcPr>
            <w:tcW w:type="dxa" w:w="792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1.101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0.010</w:t>
            </w:r>
          </w:p>
        </w:tc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21.2%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6.8</w:t>
            </w:r>
          </w:p>
        </w:tc>
        <w:tc>
          <w:tcPr>
            <w:tcW w:type="dxa" w:w="1181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206,220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20f_6e</w:t>
            </w:r>
          </w:p>
        </w:tc>
        <w:tc>
          <w:tcPr>
            <w:tcW w:type="dxa" w:w="1843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Híbrido a=.75</w:t>
            </w:r>
          </w:p>
        </w:tc>
        <w:tc>
          <w:tcPr>
            <w:tcW w:type="dxa" w:w="792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1.101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0.020</w:t>
            </w:r>
          </w:p>
        </w:tc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18.2%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6.8</w:t>
            </w:r>
          </w:p>
        </w:tc>
        <w:tc>
          <w:tcPr>
            <w:tcW w:type="dxa" w:w="1181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206,220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8f_6e</w:t>
            </w:r>
          </w:p>
        </w:tc>
        <w:tc>
          <w:tcPr>
            <w:tcW w:type="dxa" w:w="1843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Colaborativo</w:t>
            </w:r>
          </w:p>
        </w:tc>
        <w:tc>
          <w:tcPr>
            <w:tcW w:type="dxa" w:w="792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1.108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0.010</w:t>
            </w:r>
          </w:p>
        </w:tc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11.1%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6.7</w:t>
            </w:r>
          </w:p>
        </w:tc>
        <w:tc>
          <w:tcPr>
            <w:tcW w:type="dxa" w:w="1181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82,488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8f_6e</w:t>
            </w:r>
          </w:p>
        </w:tc>
        <w:tc>
          <w:tcPr>
            <w:tcW w:type="dxa" w:w="1843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Contenido</w:t>
            </w:r>
          </w:p>
        </w:tc>
        <w:tc>
          <w:tcPr>
            <w:tcW w:type="dxa" w:w="792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0.000</w:t>
            </w:r>
          </w:p>
        </w:tc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14.9%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0.0</w:t>
            </w:r>
          </w:p>
        </w:tc>
        <w:tc>
          <w:tcPr>
            <w:tcW w:type="dxa" w:w="1181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8f_6e</w:t>
            </w:r>
          </w:p>
        </w:tc>
        <w:tc>
          <w:tcPr>
            <w:tcW w:type="dxa" w:w="1843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Híbrido a=.25</w:t>
            </w:r>
          </w:p>
        </w:tc>
        <w:tc>
          <w:tcPr>
            <w:tcW w:type="dxa" w:w="792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1.108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0.012</w:t>
            </w:r>
          </w:p>
        </w:tc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15.9%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6.7</w:t>
            </w:r>
          </w:p>
        </w:tc>
        <w:tc>
          <w:tcPr>
            <w:tcW w:type="dxa" w:w="1181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82,488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8f_6e</w:t>
            </w:r>
          </w:p>
        </w:tc>
        <w:tc>
          <w:tcPr>
            <w:tcW w:type="dxa" w:w="1843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Híbrido a=.75</w:t>
            </w:r>
          </w:p>
        </w:tc>
        <w:tc>
          <w:tcPr>
            <w:tcW w:type="dxa" w:w="792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1.108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0.010</w:t>
            </w:r>
          </w:p>
        </w:tc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11.4%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6.7</w:t>
            </w:r>
          </w:p>
        </w:tc>
        <w:tc>
          <w:tcPr>
            <w:tcW w:type="dxa" w:w="1181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82,488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8f_6e</w:t>
            </w:r>
          </w:p>
        </w:tc>
        <w:tc>
          <w:tcPr>
            <w:tcW w:type="dxa" w:w="1843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Popularidad</w:t>
            </w:r>
          </w:p>
        </w:tc>
        <w:tc>
          <w:tcPr>
            <w:tcW w:type="dxa" w:w="792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0.032</w:t>
            </w:r>
          </w:p>
        </w:tc>
        <w:tc>
          <w:tcPr>
            <w:tcW w:type="dxa" w:w="1037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0.6%</w:t>
            </w:r>
          </w:p>
        </w:tc>
        <w:tc>
          <w:tcPr>
            <w:tcW w:type="dxa" w:w="86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0.0</w:t>
            </w:r>
          </w:p>
        </w:tc>
        <w:tc>
          <w:tcPr>
            <w:tcW w:type="dxa" w:w="1181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</w:tbl>
    <w:p>
      <w:pPr>
        <w:spacing w:after="80"/>
      </w:pPr>
    </w:p>
    <w:p>
      <w:pPr>
        <w:spacing w:line="480" w:lineRule="auto" w:after="100"/>
        <w:jc w:val="both"/>
      </w:pPr>
      <w:r>
        <w:t>HitRate@10 usa un solo ítem retenido por usuario. Cobertura divide las películas distintas recomendadas entre las 9,742 del catálogo. La popularidad logra HR@10=0.032 con 0.63% de cobertura, señal de concentración. Contenido cubre 14.95%, pero no recupera el ítem retenido. Un RMSE menor no garantiza mejor ranking.</w:t>
      </w:r>
    </w:p>
    <w:p>
      <w:pPr>
        <w:pStyle w:val="Heading2"/>
      </w:pPr>
      <w:r>
        <w:rPr>
          <w:color w:val="000000"/>
        </w:rPr>
        <w:t>Perfiles y usuarios fríos</w:t>
      </w:r>
    </w:p>
    <w:p>
      <w:pPr>
        <w:spacing w:line="480" w:lineRule="auto" w:after="100"/>
        <w:jc w:val="both"/>
      </w:pPr>
      <w:r>
        <w:t>Los perfiles se definieron por tamaño del historial de entrenamiento: corto hasta 34 ratings (n=155) y amplio desde 167 ratings (n=139). La tabla muestra el promedio de tres semillas para la configuración de 20 factores y 6 épocas.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160"/>
            <w:shd w:fill="17365D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800"/>
            <w:shd w:fill="17365D"/>
          </w:tcPr>
          <w:p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1224"/>
            <w:shd w:fill="17365D"/>
          </w:tcPr>
          <w:p>
            <w:r>
              <w:rPr>
                <w:b/>
                <w:color w:val="FFFFFF"/>
                <w:sz w:val="18"/>
              </w:rPr>
              <w:t>Usuarios</w:t>
            </w:r>
          </w:p>
        </w:tc>
        <w:tc>
          <w:tcPr>
            <w:tcW w:type="dxa" w:w="1224"/>
            <w:shd w:fill="17365D"/>
          </w:tcPr>
          <w:p>
            <w:r>
              <w:rPr>
                <w:b/>
                <w:color w:val="FFFFFF"/>
                <w:sz w:val="18"/>
              </w:rPr>
              <w:t>HR@10</w:t>
            </w:r>
          </w:p>
        </w:tc>
        <w:tc>
          <w:tcPr>
            <w:tcW w:type="dxa" w:w="1584"/>
            <w:shd w:fill="17365D"/>
          </w:tcPr>
          <w:p>
            <w:r>
              <w:rPr>
                <w:b/>
                <w:color w:val="FFFFFF"/>
                <w:sz w:val="18"/>
              </w:rPr>
              <w:t>Cobertura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Colaborativo</w:t>
            </w:r>
          </w:p>
        </w:tc>
        <w:tc>
          <w:tcPr>
            <w:tcW w:type="dxa" w:w="1800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Corto</w:t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155</w:t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0.009</w:t>
            </w:r>
          </w:p>
        </w:tc>
        <w:tc>
          <w:tcPr>
            <w:tcW w:type="dxa" w:w="158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9.6%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Colaborativo</w:t>
            </w:r>
          </w:p>
        </w:tc>
        <w:tc>
          <w:tcPr>
            <w:tcW w:type="dxa" w:w="1800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Amplio</w:t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139</w:t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0.024</w:t>
            </w:r>
          </w:p>
        </w:tc>
        <w:tc>
          <w:tcPr>
            <w:tcW w:type="dxa" w:w="158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4.0%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Híbrido a=.75</w:t>
            </w:r>
          </w:p>
        </w:tc>
        <w:tc>
          <w:tcPr>
            <w:tcW w:type="dxa" w:w="1800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Corto</w:t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155</w:t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0.009</w:t>
            </w:r>
          </w:p>
        </w:tc>
        <w:tc>
          <w:tcPr>
            <w:tcW w:type="dxa" w:w="158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9.5%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Híbrido a=.75</w:t>
            </w:r>
          </w:p>
        </w:tc>
        <w:tc>
          <w:tcPr>
            <w:tcW w:type="dxa" w:w="1800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Amplio</w:t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139</w:t>
            </w:r>
          </w:p>
        </w:tc>
        <w:tc>
          <w:tcPr>
            <w:tcW w:type="dxa" w:w="122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0.024</w:t>
            </w:r>
          </w:p>
        </w:tc>
        <w:tc>
          <w:tcPr>
            <w:tcW w:type="dxa" w:w="1584"/>
            <w:vAlign w:val="center"/>
          </w:tcPr>
          <w:p>
            <w:pPr>
              <w:spacing w:line="240" w:lineRule="auto" w:after="40" w:before="40"/>
            </w:pPr>
            <w:r>
              <w:rPr>
                <w:rFonts w:ascii="Arial" w:hAnsi="Arial"/>
                <w:sz w:val="18"/>
              </w:rPr>
              <w:t>4.1%</w:t>
            </w:r>
          </w:p>
        </w:tc>
      </w:tr>
    </w:tbl>
    <w:p>
      <w:pPr>
        <w:spacing w:after="80"/>
      </w:pPr>
    </w:p>
    <w:p>
      <w:pPr>
        <w:spacing w:line="480" w:lineRule="auto" w:after="100"/>
        <w:jc w:val="both"/>
      </w:pPr>
      <w:r>
        <w:t>La prueba operativa produjo 10 recomendaciones para un usuario sin historial mediante popularidad suavizada (global_popularity_cold_user) y para un usuario nuevo con tres películas conocidas mediante contenido (content_cold_user_with_history). Se excluyen ítems ya vistos. No se calcula HitRate temporal para quien no tiene historial evaluable.</w:t>
      </w:r>
    </w:p>
    <w:p>
      <w:pPr>
        <w:pStyle w:val="Heading2"/>
      </w:pPr>
      <w:r>
        <w:rPr>
          <w:color w:val="000000"/>
        </w:rPr>
        <w:t>Comparación Pareto y decisión</w:t>
      </w:r>
    </w:p>
    <w:p>
      <w:pPr>
        <w:spacing w:line="480" w:lineRule="auto" w:after="100"/>
        <w:jc w:val="both"/>
      </w:pPr>
      <w:r>
        <w:t>Se compararon 8 factores/6 épocas, 20/6 y 20/12, con alpha=.25 y .75; el análisis considera HitRate@10 y cobertura como utilidad y tiempo de ajuste y número de parámetros como costo. La configuración 20f/6e alpha=.75 obtiene HR=.020, cobertura=18.2% y ajuste de 6.8 s. 20f/12e alpha=.75 sube HR a .031, pero reduce cobertura a 7.6% y tarda 13.6 s. Se elige 20f/6e alpha=.75 como compromiso de costo y exposición; 20f/12e es alternativa si prima el acierto y alpha=.25 si prima cobertura. Estas opciones son Pareto eficientes y no existe un ganador universal.</w:t>
      </w:r>
    </w:p>
    <w:p>
      <w:pPr>
        <w:pStyle w:val="Heading2"/>
      </w:pPr>
      <w:r>
        <w:rPr>
          <w:color w:val="000000"/>
        </w:rPr>
        <w:t>Errores, límites y reproducción</w:t>
      </w:r>
    </w:p>
    <w:p>
      <w:pPr>
        <w:spacing w:line="480" w:lineRule="auto" w:after="100"/>
        <w:jc w:val="both"/>
      </w:pPr>
      <w:r>
        <w:t>La auditoría de errores registra 2348 filas para los 587 usuarios elegibles en la configuración 8f/6e y semilla 17: título retenido, acierto, rango y Top-5 por método. Los ratings son autoseleccionados, no hay variables demográficas, los géneros son amplios y una evaluación de un único evento por usuario tiene varianza. La versión Latest puede cambiar y las métricas offline no prueban satisfacción ni desempeño en producción.</w:t>
      </w:r>
    </w:p>
    <w:p>
      <w:pPr>
        <w:spacing w:line="480" w:lineRule="auto" w:after="100"/>
        <w:jc w:val="both"/>
      </w:pPr>
      <w:r>
        <w:t>El repositorio incluye notebook ejecutado, src, tests, reports, requirements.txt y README. La ejecución y descarga se documentan allí; MovieLens no se sube a Git.</w:t>
      </w:r>
    </w:p>
    <w:p>
      <w:pPr>
        <w:pStyle w:val="Heading2"/>
      </w:pPr>
      <w:r>
        <w:rPr>
          <w:color w:val="000000"/>
        </w:rPr>
        <w:t>Uso de IA y fuentes</w:t>
      </w:r>
    </w:p>
    <w:p>
      <w:pPr>
        <w:spacing w:line="480" w:lineRule="auto" w:after="100"/>
        <w:jc w:val="both"/>
      </w:pPr>
      <w:r>
        <w:t>OpenAI Codex se usó como medio de apoyo para detectar y corregir errores y revisar la coherencia de ejecución. Consultas relevantes: revisar desempates del corte temporal, tipos de la similitud coseno, índices del baseline de popularidad y consistencia de métricas. Se verificaron hash y auditoría, ejecución experimental, pruebas automatizadas y reportes. Entre las correcciones se documentan el desempate temporal determinista, la cohorte elegible explícita y la normalización de tipos. El estudiante responde por el código, resultados, referencias y conclusiones.</w:t>
      </w:r>
    </w:p>
    <w:p>
      <w:pPr>
        <w:spacing w:line="480" w:lineRule="auto" w:after="100"/>
        <w:jc w:val="both"/>
      </w:pPr>
      <w:r>
        <w:t>Fuentes: GroupLens Research, MovieLens Latest Small README: https://files.grouplens.org/datasets/movielens/ml-latest-small-README.html. Harper, F. M., y Konstan, J. A. (2015). The MovieLens Datasets: History and Context. DOI: 10.1145/2827872.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60"/>
      <w:jc w:val="both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20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