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⚠️ REVISIONE MANUALE RICHIESTA — le sezioni seguenti non sono state validate per coerenza dall'Orchestrator dopo il numero massimo di cicli di revisione.</w:t>
      </w:r>
    </w:p>
    <w:p/>
    <w:p/>
    <w:p>
      <w:pPr>
        <w:pStyle w:val="Heading2"/>
      </w:pPr>
      <w:r>
        <w:t>Vision</w:t>
      </w:r>
    </w:p>
    <w:p/>
    <w:p/>
    <w:p>
      <w:pPr>
        <w:pStyle w:val="Heading3"/>
      </w:pPr>
      <w:r>
        <w:t>Need Validation</w:t>
      </w:r>
    </w:p>
    <w:p/>
    <w:p>
      <w:r>
        <w:rPr>
          <w:b/>
        </w:rPr>
        <w:t>Is Clear:</w:t>
      </w:r>
      <w:r>
        <w:t xml:space="preserve"> Sì</w:t>
      </w:r>
    </w:p>
    <w:p>
      <w:r>
        <w:rPr>
          <w:b/>
        </w:rPr>
        <w:t>Comment:</w:t>
      </w:r>
      <w:r>
        <w:t xml:space="preserve"> Il bisogno è ben definito: la carenza di punti vendita specializzati in zone residenziali e il desiderio di sostenibilità/risparmio economico.</w:t>
      </w:r>
    </w:p>
    <w:p>
      <w:r>
        <w:rPr>
          <w:b/>
        </w:rPr>
        <w:t>Value Proposition:</w:t>
      </w:r>
      <w:r>
        <w:t xml:space="preserve"> Per le famiglie residenti nei quartieri di Modena, Aurora Sfusa offre detersivi ed igiene personale certificati Ecolabel alla spina con consegna a domicilio in bici, garantendo il risparmio sulla plastica e sui costi del prodotto.</w:t>
      </w:r>
    </w:p>
    <w:p>
      <w:r>
        <w:rPr>
          <w:b/>
        </w:rPr>
        <w:t>Differentiation:</w:t>
      </w:r>
      <w:r>
        <w:t xml:space="preserve"> Modello ibrido tra negozio di prossimità e servizio di delivery sostenibile (last-mile in bici), con un focus specifico sulla ricarica di prodotti chimici certificati che garantisce standard tecnici elevati grazie alla figura del perito chimico.</w:t>
      </w:r>
    </w:p>
    <w:p/>
    <w:p>
      <w:pPr>
        <w:pStyle w:val="Heading3"/>
      </w:pPr>
      <w:r>
        <w:t>Business Model Canvas Lite</w:t>
      </w:r>
    </w:p>
    <w:p/>
    <w:p/>
    <w:p>
      <w:pPr>
        <w:pStyle w:val="Heading4"/>
      </w:pPr>
      <w:r>
        <w:t>Customer Segments</w:t>
      </w:r>
    </w:p>
    <w:p/>
    <w:p>
      <w:pPr>
        <w:pStyle w:val="ListBullet"/>
      </w:pPr>
      <w:r>
        <w:t>Famiglie residenti nei quartieri Sacca-Crocetta e limitrofi</w:t>
      </w:r>
    </w:p>
    <w:p>
      <w:pPr>
        <w:pStyle w:val="ListBullet"/>
      </w:pPr>
      <w:r>
        <w:t>Consumatori eco-consapevoli (Zero Waste)</w:t>
      </w:r>
    </w:p>
    <w:p>
      <w:pPr>
        <w:pStyle w:val="ListBullet"/>
      </w:pPr>
      <w:r>
        <w:t>Clienti attenti al risparmio economico sulla spesa ricorrente</w:t>
      </w:r>
    </w:p>
    <w:p>
      <w:r>
        <w:rPr>
          <w:b/>
        </w:rPr>
        <w:t>Value Proposition:</w:t>
      </w:r>
      <w:r>
        <w:t xml:space="preserve"> Detergenza sostenibile, economica e comodissima grazie alla consegna a domicilio.</w:t>
      </w:r>
    </w:p>
    <w:p/>
    <w:p>
      <w:pPr>
        <w:pStyle w:val="Heading4"/>
      </w:pPr>
      <w:r>
        <w:t>Channels</w:t>
      </w:r>
    </w:p>
    <w:p/>
    <w:p>
      <w:pPr>
        <w:pStyle w:val="ListBullet"/>
      </w:pPr>
      <w:r>
        <w:t>Negozio fisico di quartiere</w:t>
      </w:r>
    </w:p>
    <w:p>
      <w:pPr>
        <w:pStyle w:val="ListBullet"/>
      </w:pPr>
      <w:r>
        <w:t>Servizio di consegna a domicilio (Bici)</w:t>
      </w:r>
    </w:p>
    <w:p>
      <w:pPr>
        <w:pStyle w:val="ListBullet"/>
      </w:pPr>
      <w:r>
        <w:t>Social media locali / WhatsApp per ordini</w:t>
      </w:r>
    </w:p>
    <w:p/>
    <w:p>
      <w:pPr>
        <w:pStyle w:val="Heading4"/>
      </w:pPr>
      <w:r>
        <w:t>Revenue Streams</w:t>
      </w:r>
    </w:p>
    <w:p/>
    <w:p>
      <w:pPr>
        <w:pStyle w:val="ListBullet"/>
      </w:pPr>
      <w:r>
        <w:t>Vendita diretta in negozio (Ricarica)</w:t>
      </w:r>
    </w:p>
    <w:p>
      <w:pPr>
        <w:pStyle w:val="ListBullet"/>
      </w:pPr>
      <w:r>
        <w:t>Servizio di consegna a domicilio (Eventuale fee di consegna)</w:t>
      </w:r>
    </w:p>
    <w:p>
      <w:pPr>
        <w:pStyle w:val="ListBullet"/>
      </w:pPr>
      <w:r>
        <w:t>Vendita prodotti complementari (es. contenitori riutilizzabili)</w:t>
      </w:r>
    </w:p>
    <w:p/>
    <w:p>
      <w:pPr>
        <w:pStyle w:val="Heading3"/>
      </w:pPr>
      <w:r>
        <w:t>Risk Flags</w:t>
      </w:r>
    </w:p>
    <w:p/>
    <w:p>
      <w:pPr>
        <w:pStyle w:val="ListBullet"/>
      </w:pPr>
      <w:r>
        <w:t>Capitale iniziale molto basso (8.000€) per l'apertura di una SRL e l'allestimento di un locale commerciale</w:t>
      </w:r>
    </w:p>
    <w:p>
      <w:pPr>
        <w:pStyle w:val="ListBullet"/>
      </w:pPr>
      <w:r>
        <w:t>Marginalità potenzialmente ridotta dovuta ai costi di logistica (consegna a domicilio) e costi fissi del locale</w:t>
      </w:r>
    </w:p>
    <w:p>
      <w:pPr>
        <w:pStyle w:val="ListBullet"/>
      </w:pPr>
      <w:r>
        <w:t>Rischio di bassa frequenza d'acquisto se il modello di consegna non è ottimizzato per rotte dense</w:t>
      </w:r>
    </w:p>
    <w:p/>
    <w:p>
      <w:pPr>
        <w:pStyle w:val="Heading3"/>
      </w:pPr>
      <w:r>
        <w:t>Needs Clarification</w:t>
      </w:r>
    </w:p>
    <w:p/>
    <w:p>
      <w:pPr>
        <w:pStyle w:val="ListBullet"/>
      </w:pPr>
      <w:r>
        <w:t>Specificare il modello di pricing per la consegna a domicilio (gratuita sopra una soglia o a pagamento?)</w:t>
      </w:r>
    </w:p>
    <w:p>
      <w:pPr>
        <w:pStyle w:val="ListBullet"/>
      </w:pPr>
      <w:r>
        <w:t>Chiarire come si intende gestire lo stock iniziale con un capitale di soli 8.000€ (considerando cauzione locale, allestimento e scorte)</w:t>
      </w:r>
    </w:p>
    <w:p>
      <w:pPr>
        <w:pStyle w:val="ListBullet"/>
      </w:pPr>
      <w:r>
        <w:t>Definire se la consegna a domicilio è un servizio su app o tramite ordini telefonici/WhatsApp</w:t>
      </w:r>
    </w:p>
    <w:p/>
    <w:p>
      <w:pPr>
        <w:pStyle w:val="Heading2"/>
      </w:pPr>
      <w:r>
        <w:t>Market</w:t>
      </w:r>
    </w:p>
    <w:p/>
    <w:p/>
    <w:p>
      <w:pPr>
        <w:pStyle w:val="Heading3"/>
      </w:pPr>
      <w:r>
        <w:t>Market Sizing</w:t>
      </w:r>
    </w:p>
    <w:p/>
    <w:p>
      <w:r>
        <w:rPr>
          <w:b/>
        </w:rPr>
        <w:t>Tam Eur:</w:t>
      </w:r>
      <w:r>
        <w:t xml:space="preserve"> 12.500.000</w:t>
      </w:r>
    </w:p>
    <w:p>
      <w:r>
        <w:rPr>
          <w:b/>
        </w:rPr>
        <w:t>Sam Eur:</w:t>
      </w:r>
      <w:r>
        <w:t xml:space="preserve"> 450.000</w:t>
      </w:r>
    </w:p>
    <w:p>
      <w:r>
        <w:rPr>
          <w:b/>
        </w:rPr>
        <w:t>Som Eur:</w:t>
      </w:r>
      <w:r>
        <w:t xml:space="preserve"> 18.000</w:t>
      </w:r>
    </w:p>
    <w:p>
      <w:r>
        <w:rPr>
          <w:b/>
        </w:rPr>
        <w:t>Rationale:</w:t>
      </w:r>
      <w:r>
        <w:t xml:space="preserve"> TAM basato sul mercato della detergenza domestica a Modena (stima su base demografica). SAM calcolato sul segmento 'eco-conscious' dei quartieri Sacca-Crocetta e limitrofi (circa 15.000 famiglie con alta propensione alla spesa green). SOM stimato sul target specifico fornito (3-4% di 11.000 famiglie) con una spesa media mensile per detersivi di 15€/famiglia, considerando la stagionalità e il tasso di penetrazione iniziale.</w:t>
      </w:r>
    </w:p>
    <w:p/>
    <w:p>
      <w:pPr>
        <w:pStyle w:val="Heading3"/>
      </w:pPr>
      <w:r>
        <w:t>Trends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Trend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Direction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/>
            <w:r>
              <w:t>Zero Waste &amp; Refill Economy</w:t>
            </w:r>
          </w:p>
        </w:tc>
        <w:tc>
          <w:tcPr>
            <w:tcW w:type="dxa" w:w="2880"/>
          </w:tcPr>
          <w:p>
            <w:r/>
            <w:r>
              <w:t>A favore</w:t>
            </w:r>
          </w:p>
        </w:tc>
        <w:tc>
          <w:tcPr>
            <w:tcW w:type="dxa" w:w="2880"/>
          </w:tcPr>
          <w:p>
            <w:r/>
            <w:r>
              <w:t>Alta: Crescente domanda di packaging-free per ridurre l'impatto ambientale e i costi di trasporto.</w:t>
            </w:r>
          </w:p>
        </w:tc>
      </w:tr>
      <w:tr>
        <w:tc>
          <w:tcPr>
            <w:tcW w:type="dxa" w:w="2880"/>
          </w:tcPr>
          <w:p>
            <w:r/>
            <w:r>
              <w:t>Last-mile delivery sostenibile</w:t>
            </w:r>
          </w:p>
        </w:tc>
        <w:tc>
          <w:tcPr>
            <w:tcW w:type="dxa" w:w="2880"/>
          </w:tcPr>
          <w:p>
            <w:r/>
            <w:r>
              <w:t>A favore</w:t>
            </w:r>
          </w:p>
        </w:tc>
        <w:tc>
          <w:tcPr>
            <w:tcW w:type="dxa" w:w="2880"/>
          </w:tcPr>
          <w:p>
            <w:r/>
            <w:r>
              <w:t>Media: L'uso della bicicletta per le consegne si allinea perfettamente al brand identity e riduce l'impronta di carbonio.</w:t>
            </w:r>
          </w:p>
        </w:tc>
      </w:tr>
      <w:tr>
        <w:tc>
          <w:tcPr>
            <w:tcW w:type="dxa" w:w="2880"/>
          </w:tcPr>
          <w:p>
            <w:r/>
            <w:r>
              <w:t>Consolidamento della GDO nel Green Retail</w:t>
            </w:r>
          </w:p>
        </w:tc>
        <w:tc>
          <w:tcPr>
            <w:tcW w:type="dxa" w:w="2880"/>
          </w:tcPr>
          <w:p>
            <w:r/>
            <w:r>
              <w:t>Contro</w:t>
            </w:r>
          </w:p>
        </w:tc>
        <w:tc>
          <w:tcPr>
            <w:tcW w:type="dxa" w:w="2880"/>
          </w:tcPr>
          <w:p>
            <w:r/>
            <w:r>
              <w:t>Media: I grandi supermercati stanno introducendo stazioni di ricarica, ma con meno personalizzazione e focus sul quartiere.</w:t>
            </w:r>
          </w:p>
        </w:tc>
      </w:tr>
    </w:tbl>
    <w:p/>
    <w:p>
      <w:pPr>
        <w:pStyle w:val="Heading3"/>
      </w:pPr>
      <w:r>
        <w:t>Competitors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Strengths</w:t>
            </w:r>
          </w:p>
        </w:tc>
      </w:tr>
      <w:tr>
        <w:tc>
          <w:tcPr>
            <w:tcW w:type="dxa" w:w="4320"/>
          </w:tcPr>
          <w:p>
            <w:r/>
            <w:r>
              <w:t>Grande Distribuzione Organizzata (GDO)</w:t>
            </w:r>
          </w:p>
        </w:tc>
        <w:tc>
          <w:tcPr>
            <w:tcW w:type="dxa" w:w="4320"/>
          </w:tcPr>
          <w:p>
            <w:r/>
            <w:r>
              <w:t>Prezzi estremamente competitivi, comodità, ampia gamma prodotti.</w:t>
            </w:r>
          </w:p>
        </w:tc>
      </w:tr>
      <w:tr>
        <w:tc>
          <w:tcPr>
            <w:tcW w:type="dxa" w:w="4320"/>
          </w:tcPr>
          <w:p>
            <w:r/>
            <w:r>
              <w:t>Negozi Bio/Specializzati (Centro Modena)</w:t>
            </w:r>
          </w:p>
        </w:tc>
        <w:tc>
          <w:tcPr>
            <w:tcW w:type="dxa" w:w="4320"/>
          </w:tcPr>
          <w:p>
            <w:r/>
            <w:r>
              <w:t>Forte brand equity nel settore sostenibile, fiducia del consumatore.</w:t>
            </w:r>
          </w:p>
        </w:tc>
      </w:tr>
      <w:tr>
        <w:tc>
          <w:tcPr>
            <w:tcW w:type="dxa" w:w="4320"/>
          </w:tcPr>
          <w:p>
            <w:r/>
            <w:r>
              <w:t>E-commerce di prodotti eco-friendly</w:t>
            </w:r>
          </w:p>
        </w:tc>
        <w:tc>
          <w:tcPr>
            <w:tcW w:type="dxa" w:w="4320"/>
          </w:tcPr>
          <w:p>
            <w:r/>
            <w:r>
              <w:t>Comodità estrema, vastissima scelta di nicchia.</w:t>
            </w:r>
          </w:p>
        </w:tc>
      </w:tr>
    </w:tbl>
    <w:p/>
    <w:p>
      <w:pPr>
        <w:pStyle w:val="Heading3"/>
      </w:pPr>
      <w:r>
        <w:t>Swot</w:t>
      </w:r>
    </w:p>
    <w:p/>
    <w:p/>
    <w:p>
      <w:pPr>
        <w:pStyle w:val="Heading4"/>
      </w:pPr>
      <w:r>
        <w:t>Strengths</w:t>
      </w:r>
    </w:p>
    <w:p/>
    <w:p>
      <w:pPr>
        <w:pStyle w:val="ListBullet"/>
      </w:pPr>
      <w:r>
        <w:t>Competenza tecnica interna (Perito Chimico)</w:t>
      </w:r>
    </w:p>
    <w:p>
      <w:pPr>
        <w:pStyle w:val="ListBullet"/>
      </w:pPr>
      <w:r>
        <w:t>Modello di business ibrido (Retail + Delivery)</w:t>
      </w:r>
    </w:p>
    <w:p>
      <w:pPr>
        <w:pStyle w:val="ListBullet"/>
      </w:pPr>
      <w:r>
        <w:t>Bassi costi fissi iniziali (modello di quartiere)</w:t>
      </w:r>
    </w:p>
    <w:p>
      <w:pPr>
        <w:pStyle w:val="ListBullet"/>
      </w:pPr>
      <w:r>
        <w:t>Forte identità locale e sostenibile</w:t>
      </w:r>
    </w:p>
    <w:p/>
    <w:p>
      <w:pPr>
        <w:pStyle w:val="Heading4"/>
      </w:pPr>
      <w:r>
        <w:t>Weaknesses</w:t>
      </w:r>
    </w:p>
    <w:p/>
    <w:p>
      <w:pPr>
        <w:pStyle w:val="ListBullet"/>
      </w:pPr>
      <w:r>
        <w:t>Capitale proprio limitato (8.000€)</w:t>
      </w:r>
    </w:p>
    <w:p>
      <w:pPr>
        <w:pStyle w:val="ListBullet"/>
      </w:pPr>
      <w:r>
        <w:t>Capacità operativa ridotta (fondatori part-time/full-time)</w:t>
      </w:r>
    </w:p>
    <w:p>
      <w:pPr>
        <w:pStyle w:val="ListBullet"/>
      </w:pPr>
      <w:r>
        <w:t>Logistica manuale (bicicletta) che limita la scalabilità rapida</w:t>
      </w:r>
    </w:p>
    <w:p/>
    <w:p>
      <w:pPr>
        <w:pStyle w:val="Heading4"/>
      </w:pPr>
      <w:r>
        <w:t>Opportunities</w:t>
      </w:r>
    </w:p>
    <w:p/>
    <w:p>
      <w:pPr>
        <w:pStyle w:val="ListBullet"/>
      </w:pPr>
      <w:r>
        <w:t>Partnership con produttori locali di detersivi</w:t>
      </w:r>
    </w:p>
    <w:p>
      <w:pPr>
        <w:pStyle w:val="ListBullet"/>
      </w:pPr>
      <w:r>
        <w:t>Abbonamenti mensili per la consegna a domicilio</w:t>
      </w:r>
    </w:p>
    <w:p>
      <w:pPr>
        <w:pStyle w:val="ListBullet"/>
      </w:pPr>
      <w:r>
        <w:t>Espansione in altri quartieri di Modena</w:t>
      </w:r>
    </w:p>
    <w:p/>
    <w:p>
      <w:pPr>
        <w:pStyle w:val="Heading4"/>
      </w:pPr>
      <w:r>
        <w:t>Threats</w:t>
      </w:r>
    </w:p>
    <w:p/>
    <w:p>
      <w:pPr>
        <w:pStyle w:val="ListBullet"/>
      </w:pPr>
      <w:r>
        <w:t>Ingresso di stazioni di ricarica nei supermercati di zona</w:t>
      </w:r>
    </w:p>
    <w:p>
      <w:pPr>
        <w:pStyle w:val="ListBullet"/>
      </w:pPr>
      <w:r>
        <w:t>Aumento dei costi delle materie prime certificate Ecolabel</w:t>
      </w:r>
    </w:p>
    <w:p>
      <w:pPr>
        <w:pStyle w:val="ListBullet"/>
      </w:pPr>
      <w:r>
        <w:t>Normative igienico-sanitarie stringenti sulla ricarica alla spina</w:t>
      </w:r>
    </w:p>
    <w:p/>
    <w:p>
      <w:pPr>
        <w:pStyle w:val="Heading3"/>
      </w:pPr>
      <w:r>
        <w:t>Entry Barriers</w:t>
      </w:r>
    </w:p>
    <w:p/>
    <w:p>
      <w:pPr>
        <w:pStyle w:val="ListBullet"/>
      </w:pPr>
      <w:r>
        <w:t>Conformità normativa e autorizzazioni sanitarie per la vendita di prodotti sfusi</w:t>
      </w:r>
    </w:p>
    <w:p>
      <w:pPr>
        <w:pStyle w:val="ListBullet"/>
      </w:pPr>
      <w:r>
        <w:t>Requisiti tecnici per la gestione delle stazioni di ricarica (sicurezza chimica)</w:t>
      </w:r>
    </w:p>
    <w:p>
      <w:pPr>
        <w:pStyle w:val="ListBullet"/>
      </w:pPr>
      <w:r>
        <w:t>Costi di acquisizione cliente in un mercato dominato dalla GDO</w:t>
      </w:r>
    </w:p>
    <w:p>
      <w:pPr>
        <w:pStyle w:val="ListBullet"/>
      </w:pPr>
      <w:r>
        <w:t>Logistica dell'ultimo miglio efficiente</w:t>
      </w:r>
    </w:p>
    <w:p/>
    <w:p>
      <w:pPr>
        <w:pStyle w:val="Heading3"/>
      </w:pPr>
      <w:r>
        <w:t>Sources Used</w:t>
      </w:r>
    </w:p>
    <w:p/>
    <w:p>
      <w:pPr>
        <w:pStyle w:val="ListBullet"/>
      </w:pPr>
      <w:r>
        <w:t>Rapporto GreenItaly 2023 (Rinnovabili.it)</w:t>
      </w:r>
    </w:p>
    <w:p>
      <w:pPr>
        <w:pStyle w:val="ListBullet"/>
      </w:pPr>
      <w:r>
        <w:t>Green Retail Lab (Italcircolare.it)</w:t>
      </w:r>
    </w:p>
    <w:p>
      <w:pPr>
        <w:pStyle w:val="ListBullet"/>
      </w:pPr>
      <w:r>
        <w:t>Dati demografici stimati per l'area Sacca-Crocetta (Modena)</w:t>
      </w:r>
    </w:p>
    <w:p/>
    <w:p>
      <w:pPr>
        <w:pStyle w:val="Heading2"/>
      </w:pPr>
      <w:r>
        <w:t>Team</w:t>
      </w:r>
    </w:p>
    <w:p/>
    <w:p/>
    <w:p>
      <w:pPr>
        <w:pStyle w:val="Heading3"/>
      </w:pPr>
      <w:r>
        <w:t>Skills Coverage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Skill Needed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Covered By</w:t>
            </w:r>
          </w:p>
        </w:tc>
      </w:tr>
      <w:tr>
        <w:tc>
          <w:tcPr>
            <w:tcW w:type="dxa" w:w="4320"/>
          </w:tcPr>
          <w:p>
            <w:r/>
            <w:r>
              <w:t>Retail Management</w:t>
            </w:r>
          </w:p>
        </w:tc>
        <w:tc>
          <w:tcPr>
            <w:tcW w:type="dxa" w:w="4320"/>
          </w:tcPr>
          <w:p>
            <w:r/>
            <w:r>
              <w:t>Socio A</w:t>
            </w:r>
          </w:p>
        </w:tc>
      </w:tr>
      <w:tr>
        <w:tc>
          <w:tcPr>
            <w:tcW w:type="dxa" w:w="4320"/>
          </w:tcPr>
          <w:p>
            <w:r/>
            <w:r>
              <w:t>Gestione punto vendita</w:t>
            </w:r>
          </w:p>
        </w:tc>
        <w:tc>
          <w:tcPr>
            <w:tcW w:type="dxa" w:w="4320"/>
          </w:tcPr>
          <w:p>
            <w:r/>
            <w:r>
              <w:t>Socio A</w:t>
            </w:r>
          </w:p>
        </w:tc>
      </w:tr>
      <w:tr>
        <w:tc>
          <w:tcPr>
            <w:tcW w:type="dxa" w:w="4320"/>
          </w:tcPr>
          <w:p>
            <w:r/>
            <w:r>
              <w:t>Conformità tecnica prodotti</w:t>
            </w:r>
          </w:p>
        </w:tc>
        <w:tc>
          <w:tcPr>
            <w:tcW w:type="dxa" w:w="4320"/>
          </w:tcPr>
          <w:p>
            <w:r/>
            <w:r>
              <w:t>Socio B</w:t>
            </w:r>
          </w:p>
        </w:tc>
      </w:tr>
      <w:tr>
        <w:tc>
          <w:tcPr>
            <w:tcW w:type="dxa" w:w="4320"/>
          </w:tcPr>
          <w:p>
            <w:r/>
            <w:r>
              <w:t>Controllo qualità chimica</w:t>
            </w:r>
          </w:p>
        </w:tc>
        <w:tc>
          <w:tcPr>
            <w:tcW w:type="dxa" w:w="4320"/>
          </w:tcPr>
          <w:p>
            <w:r/>
            <w:r>
              <w:t>Socio B</w:t>
            </w:r>
          </w:p>
        </w:tc>
      </w:tr>
    </w:tbl>
    <w:p/>
    <w:p>
      <w:pPr>
        <w:pStyle w:val="Heading3"/>
      </w:pPr>
      <w:r>
        <w:t>Skills Gap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Skill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Criticality</w:t>
            </w:r>
          </w:p>
        </w:tc>
      </w:tr>
      <w:tr>
        <w:tc>
          <w:tcPr>
            <w:tcW w:type="dxa" w:w="4320"/>
          </w:tcPr>
          <w:p>
            <w:r/>
            <w:r>
              <w:t>Marketing Digitale</w:t>
            </w:r>
          </w:p>
        </w:tc>
        <w:tc>
          <w:tcPr>
            <w:tcW w:type="dxa" w:w="4320"/>
          </w:tcPr>
          <w:p>
            <w:r/>
            <w:r>
              <w:t>Medium</w:t>
            </w:r>
          </w:p>
        </w:tc>
      </w:tr>
      <w:tr>
        <w:tc>
          <w:tcPr>
            <w:tcW w:type="dxa" w:w="4320"/>
          </w:tcPr>
          <w:p>
            <w:r/>
            <w:r>
              <w:t>Contabilità e Gestione Fiscale</w:t>
            </w:r>
          </w:p>
        </w:tc>
        <w:tc>
          <w:tcPr>
            <w:tcW w:type="dxa" w:w="4320"/>
          </w:tcPr>
          <w:p>
            <w:r/>
            <w: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t>Logistica e Delivery</w:t>
            </w:r>
          </w:p>
        </w:tc>
        <w:tc>
          <w:tcPr>
            <w:tcW w:type="dxa" w:w="4320"/>
          </w:tcPr>
          <w:p>
            <w:r/>
            <w:r>
              <w:t>High</w:t>
            </w:r>
          </w:p>
        </w:tc>
      </w:tr>
      <w:tr>
        <w:tc>
          <w:tcPr>
            <w:tcW w:type="dxa" w:w="4320"/>
          </w:tcPr>
          <w:p>
            <w:r/>
            <w:r>
              <w:t>Gestione Operativa Delivery</w:t>
            </w:r>
          </w:p>
        </w:tc>
        <w:tc>
          <w:tcPr>
            <w:tcW w:type="dxa" w:w="4320"/>
          </w:tcPr>
          <w:p>
            <w:r/>
            <w:r>
              <w:t>High</w:t>
            </w:r>
          </w:p>
        </w:tc>
      </w:tr>
    </w:tbl>
    <w:p/>
    <w:p>
      <w:pPr>
        <w:pStyle w:val="Heading3"/>
      </w:pPr>
      <w:r>
        <w:t>Gap Strategy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Recommendation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Marketing Digitale</w:t>
            </w:r>
          </w:p>
        </w:tc>
        <w:tc>
          <w:tcPr>
            <w:tcW w:type="dxa" w:w="2880"/>
          </w:tcPr>
          <w:p>
            <w:r/>
            <w:r>
              <w:t>Esternalizzare</w:t>
            </w:r>
          </w:p>
        </w:tc>
        <w:tc>
          <w:tcPr>
            <w:tcW w:type="dxa" w:w="2880"/>
          </w:tcPr>
          <w:p>
            <w:r/>
            <w:r>
              <w:t>Già previsto dal piano; richiede competenze specifiche ma non costanti nel tempo.</w:t>
            </w:r>
          </w:p>
        </w:tc>
      </w:tr>
      <w:tr>
        <w:tc>
          <w:tcPr>
            <w:tcW w:type="dxa" w:w="2880"/>
          </w:tcPr>
          <w:p>
            <w:r/>
            <w:r>
              <w:t>Contabilità e Gestione Fiscale</w:t>
            </w:r>
          </w:p>
        </w:tc>
        <w:tc>
          <w:tcPr>
            <w:tcW w:type="dxa" w:w="2880"/>
          </w:tcPr>
          <w:p>
            <w:r/>
            <w:r>
              <w:t>Esternalizzare</w:t>
            </w:r>
          </w:p>
        </w:tc>
        <w:tc>
          <w:tcPr>
            <w:tcW w:type="dxa" w:w="2880"/>
          </w:tcPr>
          <w:p>
            <w:r/>
            <w:r>
              <w:t>Già previsto dal piano; essenziale per la conformità di una SRL.</w:t>
            </w:r>
          </w:p>
        </w:tc>
      </w:tr>
      <w:tr>
        <w:tc>
          <w:tcPr>
            <w:tcW w:type="dxa" w:w="2880"/>
          </w:tcPr>
          <w:p>
            <w:r/>
            <w:r>
              <w:t>Logistica e Delivery</w:t>
            </w:r>
          </w:p>
        </w:tc>
        <w:tc>
          <w:tcPr>
            <w:tcW w:type="dxa" w:w="2880"/>
          </w:tcPr>
          <w:p>
            <w:r/>
            <w:r>
              <w:t>Assumere</w:t>
            </w:r>
          </w:p>
        </w:tc>
        <w:tc>
          <w:tcPr>
            <w:tcW w:type="dxa" w:w="2880"/>
          </w:tcPr>
          <w:p>
            <w:r/>
            <w:r>
              <w:t>Necessario per garantire la continuità operativa senza sovraccaricare la gestione del punto vendita.</w:t>
            </w:r>
          </w:p>
        </w:tc>
      </w:tr>
    </w:tbl>
    <w:p/>
    <w:p>
      <w:pPr>
        <w:pStyle w:val="Heading3"/>
      </w:pPr>
      <w:r>
        <w:t>Workload Feasibility</w:t>
      </w:r>
    </w:p>
    <w:p/>
    <w:p>
      <w:r>
        <w:rPr>
          <w:b/>
        </w:rPr>
        <w:t>Feasible:</w:t>
      </w:r>
      <w:r>
        <w:t xml:space="preserve"> No</w:t>
      </w:r>
    </w:p>
    <w:p>
      <w:r>
        <w:rPr>
          <w:b/>
        </w:rPr>
        <w:t>Comment:</w:t>
      </w:r>
      <w:r>
        <w:t xml:space="preserve"> Rischio critico di saturazione per Socio A. La gestione simultanea del punto vendita e del servizio delivery è insostenibile. Il piano finanziario attuale è incompleto poiché non include i costi del personale per la logistica (rider/addetto delivery), rendendo il modello operativo finanziariamente non sostenibile.</w:t>
      </w:r>
    </w:p>
    <w:p>
      <w:r>
        <w:rPr>
          <w:b/>
        </w:rPr>
        <w:t>Governance Flag:</w:t>
      </w:r>
      <w:r>
        <w:t xml:space="preserve"> Nessun rischio rilevato: ripartizione quote (60/40) e processi decisionali già definiti.</w:t>
      </w:r>
    </w:p>
    <w:p/>
    <w:p>
      <w:pPr>
        <w:pStyle w:val="Heading2"/>
      </w:pPr>
      <w:r>
        <w:t>Setup</w:t>
      </w:r>
    </w:p>
    <w:p/>
    <w:p/>
    <w:p>
      <w:pPr>
        <w:pStyle w:val="Heading3"/>
      </w:pPr>
      <w:r>
        <w:t>Legal Form</w:t>
      </w:r>
    </w:p>
    <w:p/>
    <w:p>
      <w:r>
        <w:rPr>
          <w:b/>
        </w:rPr>
        <w:t>Recommended:</w:t>
      </w:r>
      <w:r>
        <w:t xml:space="preserve"> SRLS (Società a Responsabilità Limitata Semplificata)</w:t>
      </w:r>
    </w:p>
    <w:p>
      <w:r>
        <w:rPr>
          <w:b/>
        </w:rPr>
        <w:t>Rationale:</w:t>
      </w:r>
      <w:r>
        <w:t xml:space="preserve"> La SRLS è indicata per proteggere il patrimonio personale dei soci (Socio A e Socio B) in un settore che comporta la gestione di sostanze chimiche. Il capitale sociale minimo è di 1€, permettendo di destinare i 8.000€ di capitale proprio all'allestimento del locale e all'acquisto dello stock iniziale. La struttura permette anche la gestione di diverse quote di partecipazione (Full-time vs Part-time).</w:t>
      </w:r>
    </w:p>
    <w:p/>
    <w:p>
      <w:pPr>
        <w:pStyle w:val="Heading3"/>
      </w:pPr>
      <w:r>
        <w:t>Authorizations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Why Needed</w:t>
            </w:r>
          </w:p>
        </w:tc>
      </w:tr>
      <w:tr>
        <w:tc>
          <w:tcPr>
            <w:tcW w:type="dxa" w:w="4320"/>
          </w:tcPr>
          <w:p>
            <w:r/>
            <w:r>
              <w:t>SCIA (Segnalazione Certificata di Inizio Attività)</w:t>
            </w:r>
          </w:p>
        </w:tc>
        <w:tc>
          <w:tcPr>
            <w:tcW w:type="dxa" w:w="4320"/>
          </w:tcPr>
          <w:p>
            <w:r/>
            <w:r>
              <w:t>Necessaria per l'apertura di un esercizio di vendita al dettaglio di prodotti non alimentari tramite il SUAP del Comune di Modena.</w:t>
            </w:r>
          </w:p>
        </w:tc>
      </w:tr>
      <w:tr>
        <w:tc>
          <w:tcPr>
            <w:tcW w:type="dxa" w:w="4320"/>
          </w:tcPr>
          <w:p>
            <w:r/>
            <w:r>
              <w:t>Notifica Sanitaria (ASL)</w:t>
            </w:r>
          </w:p>
        </w:tc>
        <w:tc>
          <w:tcPr>
            <w:tcW w:type="dxa" w:w="4320"/>
          </w:tcPr>
          <w:p>
            <w:r/>
            <w:r>
              <w:t>Sebbene si tratti di detersivi, la vendita di prodotti per l'igiene personale richiede la verifica del rispetto dei requisiti igienico-sanitari per i locali di stoccaggio e vendita.</w:t>
            </w:r>
          </w:p>
        </w:tc>
      </w:tr>
      <w:tr>
        <w:tc>
          <w:tcPr>
            <w:tcW w:type="dxa" w:w="4320"/>
          </w:tcPr>
          <w:p>
            <w:r/>
            <w:r>
              <w:t>Conformità CLP (Classification, Labelling and Packaging)</w:t>
            </w:r>
          </w:p>
        </w:tc>
        <w:tc>
          <w:tcPr>
            <w:tcW w:type="dxa" w:w="4320"/>
          </w:tcPr>
          <w:p>
            <w:r/>
            <w:r>
              <w:t>Obbligatoria per la corretta etichettatura dei contenitori di ricarica e per garantire che l'utente finale riceva informazioni corrette sulla pericolosità dei prodotti sfusi.</w:t>
            </w:r>
          </w:p>
        </w:tc>
      </w:tr>
      <w:tr>
        <w:tc>
          <w:tcPr>
            <w:tcW w:type="dxa" w:w="4320"/>
          </w:tcPr>
          <w:p>
            <w:r/>
            <w:r>
              <w:t>Registro Imprese - Sezione Commercio</w:t>
            </w:r>
          </w:p>
        </w:tc>
        <w:tc>
          <w:tcPr>
            <w:tcW w:type="dxa" w:w="4320"/>
          </w:tcPr>
          <w:p>
            <w:r/>
            <w:r>
              <w:t>Iscrizione obbligatoria presso la Camera di Commercio di Modena per l'esercizio dell'attività commerciale.</w:t>
            </w:r>
          </w:p>
        </w:tc>
      </w:tr>
    </w:tbl>
    <w:p/>
    <w:p>
      <w:pPr>
        <w:pStyle w:val="Heading3"/>
      </w:pPr>
      <w:r>
        <w:t>Required Steps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Order</w:t>
            </w:r>
          </w:p>
        </w:tc>
      </w:tr>
      <w:tr>
        <w:tc>
          <w:tcPr>
            <w:tcW w:type="dxa" w:w="4320"/>
          </w:tcPr>
          <w:p>
            <w:r/>
            <w:r>
              <w:t>Costituzione Societaria (Atto notarile/digitale per SRLS)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Apertura Partita IVA e scelta Codice ATECO (es. 47.78.99)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  <w:tr>
        <w:tc>
          <w:tcPr>
            <w:tcW w:type="dxa" w:w="4320"/>
          </w:tcPr>
          <w:p>
            <w:r/>
            <w:r>
              <w:t>Iscrizione INPS (Gestione Commercianti) e INAIL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Deposito SCIA presso il SUAP del Comune di Modena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Adempimenti per lo stoccaggio di sostanze chimiche (normativa antincendio/sicurezza)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Attivazione servizi di consegna (logistica per delivery in bici)</w:t>
            </w:r>
          </w:p>
        </w:tc>
        <w:tc>
          <w:tcPr>
            <w:tcW w:type="dxa" w:w="4320"/>
          </w:tcPr>
          <w:p>
            <w:r/>
            <w:r>
              <w:t>6</w:t>
            </w:r>
          </w:p>
        </w:tc>
      </w:tr>
    </w:tbl>
    <w:p>
      <w:r>
        <w:rPr>
          <w:b/>
        </w:rPr>
        <w:t>Timeline Estimate Months:</w:t>
      </w:r>
      <w:r>
        <w:t xml:space="preserve"> 4-5 mesi</w:t>
      </w:r>
    </w:p>
    <w:p/>
    <w:p>
      <w:pPr>
        <w:pStyle w:val="Heading3"/>
      </w:pPr>
      <w:r>
        <w:t>Location Requirements</w:t>
      </w:r>
    </w:p>
    <w:p/>
    <w:p>
      <w:pPr>
        <w:pStyle w:val="ListBullet"/>
      </w:pPr>
      <w:r>
        <w:t>Superficie minima per stoccaggio sicuro di prodotti chimici</w:t>
      </w:r>
    </w:p>
    <w:p>
      <w:pPr>
        <w:pStyle w:val="ListBullet"/>
      </w:pPr>
      <w:r>
        <w:t>Area dedicata al lavaggio contenitori (se previsto il riutilizzo dei contenitori dei clienti)</w:t>
      </w:r>
    </w:p>
    <w:p>
      <w:pPr>
        <w:pStyle w:val="ListBullet"/>
      </w:pPr>
      <w:r>
        <w:t>Accessibilità per il carico/scarico merci</w:t>
      </w:r>
    </w:p>
    <w:p>
      <w:pPr>
        <w:pStyle w:val="ListBullet"/>
      </w:pPr>
      <w:r>
        <w:t>Conformità agli standard di sicurezza sul lavoro (D.Lgs 81/08)</w:t>
      </w:r>
    </w:p>
    <w:p/>
    <w:p>
      <w:pPr>
        <w:pStyle w:val="Heading3"/>
      </w:pPr>
      <w:r>
        <w:t>Verify Locally</w:t>
      </w:r>
    </w:p>
    <w:p/>
    <w:p>
      <w:pPr>
        <w:pStyle w:val="ListBullet"/>
      </w:pPr>
      <w:r>
        <w:t>Regolamento edilizio e commerciale del Comune di Modena</w:t>
      </w:r>
    </w:p>
    <w:p>
      <w:pPr>
        <w:pStyle w:val="ListBullet"/>
      </w:pPr>
      <w:r>
        <w:t>Requisiti specifici per lo stoccaggio di prodotti chimici presso l'ufficio tecnico locale</w:t>
      </w:r>
    </w:p>
    <w:p>
      <w:pPr>
        <w:pStyle w:val="ListBullet"/>
      </w:pPr>
      <w:r>
        <w:t>Normative sulla gestione dei rifiuti per il riutilizzo dei contenitori (economia circolare)</w:t>
      </w:r>
    </w:p>
    <w:p/>
    <w:p>
      <w:pPr>
        <w:pStyle w:val="Heading2"/>
      </w:pPr>
      <w:r>
        <w:t>Financial</w:t>
      </w:r>
    </w:p>
    <w:p/>
    <w:p/>
    <w:p>
      <w:pPr>
        <w:pStyle w:val="Heading3"/>
      </w:pPr>
      <w:r>
        <w:t>Cost Breakdown</w:t>
      </w:r>
    </w:p>
    <w:p/>
    <w:p/>
    <w:p>
      <w:pPr>
        <w:pStyle w:val="Heading4"/>
      </w:pPr>
      <w:r>
        <w:t>Fixed Costs Eur Month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Affitto locale</w:t>
            </w:r>
          </w:p>
        </w:tc>
        <w:tc>
          <w:tcPr>
            <w:tcW w:type="dxa" w:w="4320"/>
          </w:tcPr>
          <w:p>
            <w:r/>
            <w:r>
              <w:t>650.0</w:t>
            </w:r>
          </w:p>
        </w:tc>
      </w:tr>
      <w:tr>
        <w:tc>
          <w:tcPr>
            <w:tcW w:type="dxa" w:w="4320"/>
          </w:tcPr>
          <w:p>
            <w:r/>
            <w:r>
              <w:t>Stipendio base (Socio A - quota minima/contributi)</w:t>
            </w:r>
          </w:p>
        </w:tc>
        <w:tc>
          <w:tcPr>
            <w:tcW w:type="dxa" w:w="4320"/>
          </w:tcPr>
          <w:p>
            <w:r/>
            <w:r>
              <w:t>350.0</w:t>
            </w:r>
          </w:p>
        </w:tc>
      </w:tr>
      <w:tr>
        <w:tc>
          <w:tcPr>
            <w:tcW w:type="dxa" w:w="4320"/>
          </w:tcPr>
          <w:p>
            <w:r/>
            <w:r>
              <w:t>Marketing (Esternalizzato)</w:t>
            </w:r>
          </w:p>
        </w:tc>
        <w:tc>
          <w:tcPr>
            <w:tcW w:type="dxa" w:w="4320"/>
          </w:tcPr>
          <w:p>
            <w:r/>
            <w:r>
              <w:t>150.0</w:t>
            </w:r>
          </w:p>
        </w:tc>
      </w:tr>
      <w:tr>
        <w:tc>
          <w:tcPr>
            <w:tcW w:type="dxa" w:w="4320"/>
          </w:tcPr>
          <w:p>
            <w:r/>
            <w:r>
              <w:t>Commercialista (Esternalizzato)</w:t>
            </w:r>
          </w:p>
        </w:tc>
        <w:tc>
          <w:tcPr>
            <w:tcW w:type="dxa" w:w="4320"/>
          </w:tcPr>
          <w:p>
            <w:r/>
            <w:r>
              <w:t>120.0</w:t>
            </w:r>
          </w:p>
        </w:tc>
      </w:tr>
      <w:tr>
        <w:tc>
          <w:tcPr>
            <w:tcW w:type="dxa" w:w="4320"/>
          </w:tcPr>
          <w:p>
            <w:r/>
            <w:r>
              <w:t>Utenze (Luce, Acqua, Gas)</w:t>
            </w:r>
          </w:p>
        </w:tc>
        <w:tc>
          <w:tcPr>
            <w:tcW w:type="dxa" w:w="4320"/>
          </w:tcPr>
          <w:p>
            <w:r/>
            <w:r>
              <w:t>100.0</w:t>
            </w:r>
          </w:p>
        </w:tc>
      </w:tr>
      <w:tr>
        <w:tc>
          <w:tcPr>
            <w:tcW w:type="dxa" w:w="4320"/>
          </w:tcPr>
          <w:p>
            <w:r/>
            <w:r>
              <w:t>Connettività e Materiale Ufficio</w:t>
            </w:r>
          </w:p>
        </w:tc>
        <w:tc>
          <w:tcPr>
            <w:tcW w:type="dxa" w:w="4320"/>
          </w:tcPr>
          <w:p>
            <w:r/>
            <w:r>
              <w:t>60.0</w:t>
            </w:r>
          </w:p>
        </w:tc>
      </w:tr>
      <w:tr>
        <w:tc>
          <w:tcPr>
            <w:tcW w:type="dxa" w:w="4320"/>
          </w:tcPr>
          <w:p>
            <w:r/>
            <w:r>
              <w:t>Assicurazioni e Varie</w:t>
            </w:r>
          </w:p>
        </w:tc>
        <w:tc>
          <w:tcPr>
            <w:tcW w:type="dxa" w:w="4320"/>
          </w:tcPr>
          <w:p>
            <w:r/>
            <w:r>
              <w:t>80.0</w:t>
            </w:r>
          </w:p>
        </w:tc>
      </w:tr>
    </w:tbl>
    <w:p/>
    <w:p>
      <w:pPr>
        <w:pStyle w:val="Heading4"/>
      </w:pPr>
      <w:r>
        <w:t>Variable Costs Per Unit Eur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Costo del venduto (COGS) - Prodotto sfuso</w:t>
            </w:r>
          </w:p>
        </w:tc>
        <w:tc>
          <w:tcPr>
            <w:tcW w:type="dxa" w:w="4320"/>
          </w:tcPr>
          <w:p>
            <w:r/>
            <w:r>
              <w:t>1.7</w:t>
            </w:r>
          </w:p>
        </w:tc>
      </w:tr>
      <w:tr>
        <w:tc>
          <w:tcPr>
            <w:tcW w:type="dxa" w:w="4320"/>
          </w:tcPr>
          <w:p>
            <w:r/>
            <w:r>
              <w:t>Packaging/Etichettatura (se applicabile)</w:t>
            </w:r>
          </w:p>
        </w:tc>
        <w:tc>
          <w:tcPr>
            <w:tcW w:type="dxa" w:w="4320"/>
          </w:tcPr>
          <w:p>
            <w:r/>
            <w:r>
              <w:t>0.0</w:t>
            </w:r>
          </w:p>
        </w:tc>
      </w:tr>
      <w:tr>
        <w:tc>
          <w:tcPr>
            <w:tcW w:type="dxa" w:w="4320"/>
          </w:tcPr>
          <w:p>
            <w:r/>
            <w:r>
              <w:t>Costi logistica (Bici/Manutenzione)</w:t>
            </w:r>
          </w:p>
        </w:tc>
        <w:tc>
          <w:tcPr>
            <w:tcW w:type="dxa" w:w="4320"/>
          </w:tcPr>
          <w:p>
            <w:r/>
            <w:r>
              <w:t>0.3</w:t>
            </w:r>
          </w:p>
        </w:tc>
      </w:tr>
    </w:tbl>
    <w:p/>
    <w:p>
      <w:pPr>
        <w:pStyle w:val="Heading4"/>
      </w:pPr>
      <w:r>
        <w:t>Indirect Costs Eur Month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/>
            <w:r>
              <w:t>Marketing</w:t>
            </w:r>
          </w:p>
        </w:tc>
        <w:tc>
          <w:tcPr>
            <w:tcW w:type="dxa" w:w="4320"/>
          </w:tcPr>
          <w:p>
            <w:r/>
            <w:r>
              <w:t>150.0</w:t>
            </w:r>
          </w:p>
        </w:tc>
      </w:tr>
      <w:tr>
        <w:tc>
          <w:tcPr>
            <w:tcW w:type="dxa" w:w="4320"/>
          </w:tcPr>
          <w:p>
            <w:r/>
            <w:r>
              <w:t>Commercialista</w:t>
            </w:r>
          </w:p>
        </w:tc>
        <w:tc>
          <w:tcPr>
            <w:tcW w:type="dxa" w:w="4320"/>
          </w:tcPr>
          <w:p>
            <w:r/>
            <w:r>
              <w:t>120.0</w:t>
            </w:r>
          </w:p>
        </w:tc>
      </w:tr>
      <w:tr>
        <w:tc>
          <w:tcPr>
            <w:tcW w:type="dxa" w:w="4320"/>
          </w:tcPr>
          <w:p>
            <w:r/>
            <w:r>
              <w:t>Connettività e Materiale Ufficio</w:t>
            </w:r>
          </w:p>
        </w:tc>
        <w:tc>
          <w:tcPr>
            <w:tcW w:type="dxa" w:w="4320"/>
          </w:tcPr>
          <w:p>
            <w:r/>
            <w:r>
              <w:t>60.0</w:t>
            </w:r>
          </w:p>
        </w:tc>
      </w:tr>
    </w:tbl>
    <w:p/>
    <w:p>
      <w:pPr>
        <w:pStyle w:val="Heading3"/>
      </w:pPr>
      <w:r>
        <w:t>Pricing</w:t>
      </w:r>
    </w:p>
    <w:p/>
    <w:p>
      <w:r>
        <w:rPr>
          <w:b/>
        </w:rPr>
        <w:t>Unit Price Eur:</w:t>
      </w:r>
      <w:r>
        <w:t xml:space="preserve"> 5.0</w:t>
      </w:r>
    </w:p>
    <w:p>
      <w:r>
        <w:rPr>
          <w:b/>
        </w:rPr>
        <w:t>Unit Margin Eur:</w:t>
      </w:r>
      <w:r>
        <w:t xml:space="preserve"> 3.0</w:t>
      </w:r>
    </w:p>
    <w:p/>
    <w:p>
      <w:pPr>
        <w:pStyle w:val="Heading3"/>
      </w:pPr>
      <w:r>
        <w:t>Break Even</w:t>
      </w:r>
    </w:p>
    <w:p/>
    <w:p>
      <w:r>
        <w:rPr>
          <w:b/>
        </w:rPr>
        <w:t>Units Per Month:</w:t>
      </w:r>
      <w:r>
        <w:t xml:space="preserve"> 437.0</w:t>
      </w:r>
    </w:p>
    <w:p>
      <w:r>
        <w:rPr>
          <w:b/>
        </w:rPr>
        <w:t>Rationale:</w:t>
      </w:r>
      <w:r>
        <w:t xml:space="preserve"> Calcolato su Costi Fissi Totali (1310€) / Margine Unitario Corretto (3.00€). Nota: Il margine è stato ricalcolato a 3.00€ per allineare il prezzo di vendita (5.00€) al COGS (1.70€) e ai costi logistici variabili (0.30€).</w:t>
      </w:r>
    </w:p>
    <w:p/>
    <w:p>
      <w:pPr>
        <w:pStyle w:val="Heading3"/>
      </w:pPr>
      <w:r>
        <w:t>Scenarios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Year1 Revenue Eur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Year2 Revenue Eur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Year3 Revenue Eur</w:t>
            </w:r>
          </w:p>
        </w:tc>
      </w:tr>
      <w:tr>
        <w:tc>
          <w:tcPr>
            <w:tcW w:type="dxa" w:w="2160"/>
          </w:tcPr>
          <w:p>
            <w:r/>
            <w:r>
              <w:t>Pessimistico (80% SOM)</w:t>
            </w:r>
          </w:p>
        </w:tc>
        <w:tc>
          <w:tcPr>
            <w:tcW w:type="dxa" w:w="2160"/>
          </w:tcPr>
          <w:p>
            <w:r/>
            <w:r>
              <w:t>14400.0</w:t>
            </w:r>
          </w:p>
        </w:tc>
        <w:tc>
          <w:tcPr>
            <w:tcW w:type="dxa" w:w="2160"/>
          </w:tcPr>
          <w:p>
            <w:r/>
            <w:r>
              <w:t>16000.0</w:t>
            </w:r>
          </w:p>
        </w:tc>
        <w:tc>
          <w:tcPr>
            <w:tcW w:type="dxa" w:w="2160"/>
          </w:tcPr>
          <w:p>
            <w:r/>
            <w:r>
              <w:t>18000.0</w:t>
            </w:r>
          </w:p>
        </w:tc>
      </w:tr>
      <w:tr>
        <w:tc>
          <w:tcPr>
            <w:tcW w:type="dxa" w:w="2160"/>
          </w:tcPr>
          <w:p>
            <w:r/>
            <w:r>
              <w:t>Base (100% SOM)</w:t>
            </w:r>
          </w:p>
        </w:tc>
        <w:tc>
          <w:tcPr>
            <w:tcW w:type="dxa" w:w="2160"/>
          </w:tcPr>
          <w:p>
            <w:r/>
            <w:r>
              <w:t>18000.0</w:t>
            </w:r>
          </w:p>
        </w:tc>
        <w:tc>
          <w:tcPr>
            <w:tcW w:type="dxa" w:w="2160"/>
          </w:tcPr>
          <w:p>
            <w:r/>
            <w:r>
              <w:t>20000.0</w:t>
            </w:r>
          </w:p>
        </w:tc>
        <w:tc>
          <w:tcPr>
            <w:tcW w:type="dxa" w:w="2160"/>
          </w:tcPr>
          <w:p>
            <w:r/>
            <w:r>
              <w:t>22000.0</w:t>
            </w:r>
          </w:p>
        </w:tc>
      </w:tr>
      <w:tr>
        <w:tc>
          <w:tcPr>
            <w:tcW w:type="dxa" w:w="2160"/>
          </w:tcPr>
          <w:p>
            <w:r/>
            <w:r>
              <w:t>Ottimistico (120% SOM)</w:t>
            </w:r>
          </w:p>
        </w:tc>
        <w:tc>
          <w:tcPr>
            <w:tcW w:type="dxa" w:w="2160"/>
          </w:tcPr>
          <w:p>
            <w:r/>
            <w:r>
              <w:t>21600.0</w:t>
            </w:r>
          </w:p>
        </w:tc>
        <w:tc>
          <w:tcPr>
            <w:tcW w:type="dxa" w:w="2160"/>
          </w:tcPr>
          <w:p>
            <w:r/>
            <w:r>
              <w:t>25000.0</w:t>
            </w:r>
          </w:p>
        </w:tc>
        <w:tc>
          <w:tcPr>
            <w:tcW w:type="dxa" w:w="2160"/>
          </w:tcPr>
          <w:p>
            <w:r/>
            <w:r>
              <w:t>28000.0</w:t>
            </w:r>
          </w:p>
        </w:tc>
      </w:tr>
    </w:tbl>
    <w:p/>
    <w:p>
      <w:pPr>
        <w:pStyle w:val="Heading3"/>
      </w:pPr>
      <w:r>
        <w:t>Initial Capital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 Eur</w:t>
            </w:r>
          </w:p>
        </w:tc>
      </w:tr>
      <w:tr>
        <w:tc>
          <w:tcPr>
            <w:tcW w:type="dxa" w:w="4320"/>
          </w:tcPr>
          <w:p>
            <w:r/>
            <w:r>
              <w:t>Costituzione SRLS e Spese Legali</w:t>
            </w:r>
          </w:p>
        </w:tc>
        <w:tc>
          <w:tcPr>
            <w:tcW w:type="dxa" w:w="4320"/>
          </w:tcPr>
          <w:p>
            <w:r/>
            <w:r>
              <w:t>1500.0</w:t>
            </w:r>
          </w:p>
        </w:tc>
      </w:tr>
      <w:tr>
        <w:tc>
          <w:tcPr>
            <w:tcW w:type="dxa" w:w="4320"/>
          </w:tcPr>
          <w:p>
            <w:r/>
            <w:r>
              <w:t>Deposito Cauzionale Locale (3 mesi)</w:t>
            </w:r>
          </w:p>
        </w:tc>
        <w:tc>
          <w:tcPr>
            <w:tcW w:type="dxa" w:w="4320"/>
          </w:tcPr>
          <w:p>
            <w:r/>
            <w:r>
              <w:t>1950.0</w:t>
            </w:r>
          </w:p>
        </w:tc>
      </w:tr>
      <w:tr>
        <w:tc>
          <w:tcPr>
            <w:tcW w:type="dxa" w:w="4320"/>
          </w:tcPr>
          <w:p>
            <w:r/>
            <w:r>
              <w:t>Allestimento e Arredo (Stazioni ricarica)</w:t>
            </w:r>
          </w:p>
        </w:tc>
        <w:tc>
          <w:tcPr>
            <w:tcW w:type="dxa" w:w="4320"/>
          </w:tcPr>
          <w:p>
            <w:r/>
            <w:r>
              <w:t>12000.0</w:t>
            </w:r>
          </w:p>
        </w:tc>
      </w:tr>
      <w:tr>
        <w:tc>
          <w:tcPr>
            <w:tcW w:type="dxa" w:w="4320"/>
          </w:tcPr>
          <w:p>
            <w:r/>
            <w:r>
              <w:t>Stock Iniziale Prodotti</w:t>
            </w:r>
          </w:p>
        </w:tc>
        <w:tc>
          <w:tcPr>
            <w:tcW w:type="dxa" w:w="4320"/>
          </w:tcPr>
          <w:p>
            <w:r/>
            <w:r>
              <w:t>5000.0</w:t>
            </w:r>
          </w:p>
        </w:tc>
      </w:tr>
      <w:tr>
        <w:tc>
          <w:tcPr>
            <w:tcW w:type="dxa" w:w="4320"/>
          </w:tcPr>
          <w:p>
            <w:r/>
            <w:r>
              <w:t>Attrezzatura Logistica (Bici + Borse)</w:t>
            </w:r>
          </w:p>
        </w:tc>
        <w:tc>
          <w:tcPr>
            <w:tcW w:type="dxa" w:w="4320"/>
          </w:tcPr>
          <w:p>
            <w:r/>
            <w:r>
              <w:t>1500.0</w:t>
            </w:r>
          </w:p>
        </w:tc>
      </w:tr>
      <w:tr>
        <w:tc>
          <w:tcPr>
            <w:tcW w:type="dxa" w:w="4320"/>
          </w:tcPr>
          <w:p>
            <w:r/>
            <w:r>
              <w:t>Marketing Lancio</w:t>
            </w:r>
          </w:p>
        </w:tc>
        <w:tc>
          <w:tcPr>
            <w:tcW w:type="dxa" w:w="4320"/>
          </w:tcPr>
          <w:p>
            <w:r/>
            <w:r>
              <w:t>1000.0</w:t>
            </w:r>
          </w:p>
        </w:tc>
      </w:tr>
      <w:tr>
        <w:tc>
          <w:tcPr>
            <w:tcW w:type="dxa" w:w="4320"/>
          </w:tcPr>
          <w:p>
            <w:r/>
            <w:r>
              <w:t>Fondo Cassa / Working Capital</w:t>
            </w:r>
          </w:p>
        </w:tc>
        <w:tc>
          <w:tcPr>
            <w:tcW w:type="dxa" w:w="4320"/>
          </w:tcPr>
          <w:p>
            <w:r/>
            <w:r>
              <w:t>6000.0</w:t>
            </w:r>
          </w:p>
        </w:tc>
      </w:tr>
    </w:tbl>
    <w:p>
      <w:r>
        <w:rPr>
          <w:b/>
        </w:rPr>
        <w:t>Initial Capital Total Eur:</w:t>
      </w:r>
      <w:r>
        <w:t xml:space="preserve"> 29000.0</w:t>
      </w:r>
    </w:p>
    <w:p>
      <w:r>
        <w:rPr>
          <w:b/>
        </w:rPr>
        <w:t>Payback Period Months:</w:t>
      </w:r>
      <w:r>
        <w:t xml:space="preserve"> 34</w:t>
      </w:r>
    </w:p>
    <w:p/>
    <w:p>
      <w:pPr>
        <w:pStyle w:val="Heading3"/>
      </w:pPr>
      <w:r>
        <w:t>Assumptions</w:t>
      </w:r>
    </w:p>
    <w:p/>
    <w:p>
      <w:pPr>
        <w:pStyle w:val="ListBullet"/>
      </w:pPr>
      <w:r>
        <w:t>Il SOM (18.000€) è inteso come target di mercato per il primo anno, non come limite fisico invalicabile; gli scenari riflettono la crescita potenziale oltre il SOM.</w:t>
      </w:r>
    </w:p>
    <w:p>
      <w:pPr>
        <w:pStyle w:val="ListBullet"/>
      </w:pPr>
      <w:r>
        <w:t>Il margine unitario è stato ridotto a 3.00€ per includere i costi variabili di logistica (0.30€/litro) e allinearsi alla correzione del supervisore.</w:t>
      </w:r>
    </w:p>
    <w:p>
      <w:pPr>
        <w:pStyle w:val="ListBullet"/>
      </w:pPr>
      <w:r>
        <w:t>I costi fissi mensili sono stati elevati a 1310€ includendo le voci indirette (connettività/ufficio) come richiesto.</w:t>
      </w:r>
    </w:p>
    <w:p>
      <w:pPr>
        <w:pStyle w:val="ListBullet"/>
      </w:pPr>
      <w:r>
        <w:t>Il capitale iniziale di 29.000€ è superiore al capitale proprio dichiarato (8.000€); si assume la necessità di un finanziamento esterno o prestito d'onore di 21.000€.</w:t>
      </w:r>
    </w:p>
    <w:p>
      <w:pPr>
        <w:pStyle w:val="ListBullet"/>
      </w:pPr>
      <w:r>
        <w:t>Il break-even è calcolato sul nuovo margine corretto di 3.00€.</w:t>
      </w:r>
    </w:p>
    <w:p/>
    <w:p>
      <w:pPr>
        <w:pStyle w:val="Heading2"/>
      </w:pPr>
      <w:r>
        <w:t>Funding</w:t>
      </w:r>
    </w:p>
    <w:p/>
    <w:p>
      <w:r>
        <w:rPr>
          <w:b/>
        </w:rPr>
        <w:t>Funding Gap Eur:</w:t>
      </w:r>
      <w:r>
        <w:t xml:space="preserve"> 21000.0</w:t>
      </w:r>
    </w:p>
    <w:p/>
    <w:p>
      <w:pPr>
        <w:pStyle w:val="Heading3"/>
      </w:pPr>
      <w:r>
        <w:t>Own Capital Check</w:t>
      </w:r>
    </w:p>
    <w:p/>
    <w:p>
      <w:r>
        <w:rPr>
          <w:b/>
        </w:rPr>
        <w:t>Meets 25 30 Rule:</w:t>
      </w:r>
      <w:r>
        <w:t xml:space="preserve"> No</w:t>
      </w:r>
    </w:p>
    <w:p>
      <w:r>
        <w:rPr>
          <w:b/>
        </w:rPr>
        <w:t>Comment:</w:t>
      </w:r>
      <w:r>
        <w:t xml:space="preserve"> Il capitale proprio (8.000€) copre solo il 27.5% del fabbisogno totale (29.000€). Sebbene rientri nel limite superiore della regola empirica (25-30%), il margine di sicurezza è estremamente ridotto per un'attività retail con costi di allestimento e stock elevati.</w:t>
      </w:r>
    </w:p>
    <w:p/>
    <w:p>
      <w:pPr>
        <w:pStyle w:val="Heading3"/>
      </w:pPr>
      <w:r>
        <w:t>Funding Sources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Verified Current</w:t>
            </w:r>
          </w:p>
        </w:tc>
      </w:tr>
      <w:tr>
        <w:tc>
          <w:tcPr>
            <w:tcW w:type="dxa" w:w="2880"/>
          </w:tcPr>
          <w:p>
            <w:r/>
            <w:r>
              <w:t>Fondo Perduto / Contributi a Messa a Terra</w:t>
            </w:r>
          </w:p>
        </w:tc>
        <w:tc>
          <w:tcPr>
            <w:tcW w:type="dxa" w:w="2880"/>
          </w:tcPr>
          <w:p>
            <w:r/>
            <w:r>
              <w:t>Bandi regionali per l'imprenditoria femminile (Socio A) o per l'economia circolare/green economy. Verificare bandi specifici per il commercio retail sostenibile.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Invitalia - Nuove Imprese a Tasso Zero</w:t>
            </w:r>
          </w:p>
        </w:tc>
        <w:tc>
          <w:tcPr>
            <w:tcW w:type="dxa" w:w="2880"/>
          </w:tcPr>
          <w:p>
            <w:r/>
            <w:r>
              <w:t>Finanziamenti per startup innovative o progetti di impresa sostenibili. Spesso includono una quota di fondo perduto per giovani o donne.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Microcredito per l'Imprenditoria</w:t>
            </w:r>
          </w:p>
        </w:tc>
        <w:tc>
          <w:tcPr>
            <w:tcW w:type="dxa" w:w="2880"/>
          </w:tcPr>
          <w:p>
            <w:r/>
            <w:r>
              <w:t>Prestiti garantiti da fondi di garanzia per piccole imprese che non hanno garanzie reali sufficienti, ideale per coprire il gap di 21.000€.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Prestiti Bancari Agevolati</w:t>
            </w:r>
          </w:p>
        </w:tc>
        <w:tc>
          <w:tcPr>
            <w:tcW w:type="dxa" w:w="2880"/>
          </w:tcPr>
          <w:p>
            <w:r/>
            <w:r>
              <w:t>Finanziamenti per l'acquisto di beni strumentali (stazioni di ricarica, bici) o per il capitale circolante.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</w:tbl>
    <w:p/>
    <w:p>
      <w:pPr>
        <w:pStyle w:val="Heading3"/>
      </w:pPr>
      <w:r>
        <w:t>Recommended Mix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Priority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t>Contributi a fondo perduto (Regione/Bandi Green)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Massimizza il rendimento del capitale proprio senza diluire la proprietà o aumentare l'indebitamento.</w:t>
            </w:r>
          </w:p>
        </w:tc>
      </w:tr>
      <w:tr>
        <w:tc>
          <w:tcPr>
            <w:tcW w:type="dxa" w:w="2880"/>
          </w:tcPr>
          <w:p>
            <w:r/>
            <w:r>
              <w:t>Microcredito / Prestito Bancario (Capitale Circolante)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Necessario per coprire il gap di 21.000€ e garantire il working capital (6.000€) previsto dal piano.</w:t>
            </w:r>
          </w:p>
        </w:tc>
      </w:tr>
      <w:tr>
        <w:tc>
          <w:tcPr>
            <w:tcW w:type="dxa" w:w="2880"/>
          </w:tcPr>
          <w:p>
            <w:r/>
            <w:r>
              <w:t>Leasing o Noleggio Operativo (per attrezzature)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Per ridurre l'esborso iniziale di cassa per le stazioni di ricarica e la logistica, spostando i costi da CAPEX a OPEX.</w:t>
            </w:r>
          </w:p>
        </w:tc>
      </w:tr>
    </w:tbl>
    <w:p>
      <w:r>
        <w:rPr>
          <w:b/>
        </w:rPr>
        <w:t>Contingency Plan:</w:t>
      </w:r>
      <w:r>
        <w:t xml:space="preserve"> In caso di finanziamento parziale: 1) Ridurre l'investimento in allestimento (es. stazioni ricarica meno costose o usate); 2) Posticipare l'acquisto di stock eccessivo (modello lean); 3) Limitare il marketing iniziale al solo canale organico/social; 4) Focalizzarsi esclusivamente sul punto vendita fisico, posticipando il servizio delivery fino al raggiungimento del break-even.</w:t>
      </w:r>
    </w:p>
    <w:p/>
    <w:p>
      <w:pPr>
        <w:pStyle w:val="Heading2"/>
      </w:pPr>
      <w:r>
        <w:t>Verifica Aritmetica dei Dati Finanziari</w:t>
      </w:r>
    </w:p>
    <w:p/>
    <w:p>
      <w:r>
        <w:rPr>
          <w:b/>
        </w:rPr>
        <w:t>Coerenza complessiva:</w:t>
      </w:r>
      <w:r>
        <w:t xml:space="preserve"> No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Controllo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Dichiarato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Ricalcolato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Coerente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Nota</w:t>
            </w:r>
          </w:p>
        </w:tc>
      </w:tr>
      <w:tr>
        <w:tc>
          <w:tcPr>
            <w:tcW w:type="dxa" w:w="1728"/>
          </w:tcPr>
          <w:p>
            <w:r/>
            <w:r>
              <w:t>Margine unitario</w:t>
            </w:r>
          </w:p>
        </w:tc>
        <w:tc>
          <w:tcPr>
            <w:tcW w:type="dxa" w:w="1728"/>
          </w:tcPr>
          <w:p>
            <w:r/>
            <w:r>
              <w:t>3.0</w:t>
            </w:r>
          </w:p>
        </w:tc>
        <w:tc>
          <w:tcPr>
            <w:tcW w:type="dxa" w:w="1728"/>
          </w:tcPr>
          <w:p>
            <w:r/>
            <w:r>
              <w:t>3.0</w:t>
            </w:r>
          </w:p>
        </w:tc>
        <w:tc>
          <w:tcPr>
            <w:tcW w:type="dxa" w:w="1728"/>
          </w:tcPr>
          <w:p>
            <w:r/>
            <w:r>
              <w:t>Sì</w:t>
            </w:r>
          </w:p>
        </w:tc>
        <w:tc>
          <w:tcPr>
            <w:tcW w:type="dxa" w:w="1728"/>
          </w:tcPr>
          <w:p>
            <w:r/>
            <w:r>
              <w:t>prezzo 5.0 - costi variabili 2.0</w:t>
            </w:r>
          </w:p>
        </w:tc>
      </w:tr>
      <w:tr>
        <w:tc>
          <w:tcPr>
            <w:tcW w:type="dxa" w:w="1728"/>
          </w:tcPr>
          <w:p>
            <w:r/>
            <w:r>
              <w:t>Break-even (unità/mese)</w:t>
            </w:r>
          </w:p>
        </w:tc>
        <w:tc>
          <w:tcPr>
            <w:tcW w:type="dxa" w:w="1728"/>
          </w:tcPr>
          <w:p>
            <w:r/>
            <w:r>
              <w:t>437.0</w:t>
            </w:r>
          </w:p>
        </w:tc>
        <w:tc>
          <w:tcPr>
            <w:tcW w:type="dxa" w:w="1728"/>
          </w:tcPr>
          <w:p>
            <w:r/>
            <w:r>
              <w:t>613.33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costi fissi diretti 1510.0 + indiretti 330.0 = 1840.0 / margine 3.0</w:t>
            </w:r>
          </w:p>
        </w:tc>
      </w:tr>
      <w:tr>
        <w:tc>
          <w:tcPr>
            <w:tcW w:type="dxa" w:w="1728"/>
          </w:tcPr>
          <w:p>
            <w:r/>
            <w:r>
              <w:t>Somma capitale iniziale</w:t>
            </w:r>
          </w:p>
        </w:tc>
        <w:tc>
          <w:tcPr>
            <w:tcW w:type="dxa" w:w="1728"/>
          </w:tcPr>
          <w:p>
            <w:r/>
            <w:r>
              <w:t>29000.0</w:t>
            </w:r>
          </w:p>
        </w:tc>
        <w:tc>
          <w:tcPr>
            <w:tcW w:type="dxa" w:w="1728"/>
          </w:tcPr>
          <w:p>
            <w:r/>
            <w:r>
              <w:t>28950.0</w:t>
            </w:r>
          </w:p>
        </w:tc>
        <w:tc>
          <w:tcPr>
            <w:tcW w:type="dxa" w:w="1728"/>
          </w:tcPr>
          <w:p>
            <w:r/>
            <w:r>
              <w:t>Sì</w:t>
            </w:r>
          </w:p>
        </w:tc>
        <w:tc>
          <w:tcPr>
            <w:tcW w:type="dxa" w:w="1728"/>
          </w:tcPr>
          <w:p>
            <w:r/>
            <w:r>
              <w:t>Somma voci vs totale dichiarato.</w:t>
            </w:r>
          </w:p>
        </w:tc>
      </w:tr>
      <w:tr>
        <w:tc>
          <w:tcPr>
            <w:tcW w:type="dxa" w:w="1728"/>
          </w:tcPr>
          <w:p>
            <w:r/>
            <w:r>
              <w:t>Copertura capitale proprio</w:t>
            </w:r>
          </w:p>
        </w:tc>
        <w:tc>
          <w:tcPr>
            <w:tcW w:type="dxa" w:w="1728"/>
          </w:tcPr>
          <w:p>
            <w:r/>
            <w:r>
              <w:t>False</w:t>
            </w:r>
          </w:p>
        </w:tc>
        <w:tc>
          <w:tcPr>
            <w:tcW w:type="dxa" w:w="1728"/>
          </w:tcPr>
          <w:p>
            <w:r/>
            <w:r>
              <w:t>27.6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  <w:tc>
          <w:tcPr>
            <w:tcW w:type="dxa" w:w="1728"/>
          </w:tcPr>
          <w:p>
            <w:r/>
            <w:r>
              <w:t>copertura 27.6% su fabbisogno 29000.0 (rientra banda 25-30%)</w:t>
            </w:r>
          </w:p>
        </w:tc>
      </w:tr>
      <w:tr>
        <w:tc>
          <w:tcPr>
            <w:tcW w:type="dxa" w:w="1728"/>
          </w:tcPr>
          <w:p>
            <w:r/>
            <w:r>
              <w:t>Ricavo anno 1 vs SOM</w:t>
            </w:r>
          </w:p>
        </w:tc>
        <w:tc>
          <w:tcPr>
            <w:tcW w:type="dxa" w:w="1728"/>
          </w:tcPr>
          <w:p>
            <w:r/>
            <w:r>
              <w:t>18000.0</w:t>
            </w:r>
          </w:p>
        </w:tc>
        <w:tc>
          <w:tcPr>
            <w:tcW w:type="dxa" w:w="1728"/>
          </w:tcPr>
          <w:p>
            <w:r/>
            <w:r>
              <w:t>18000.0</w:t>
            </w:r>
          </w:p>
        </w:tc>
        <w:tc>
          <w:tcPr>
            <w:tcW w:type="dxa" w:w="1728"/>
          </w:tcPr>
          <w:p>
            <w:r/>
            <w:r>
              <w:t>Sì</w:t>
            </w:r>
          </w:p>
        </w:tc>
        <w:tc>
          <w:tcPr>
            <w:tcW w:type="dxa" w:w="1728"/>
          </w:tcPr>
          <w:p>
            <w:r/>
            <w:r>
              <w:t>Il ricavo anno 1 non deve superare il SOM.</w:t>
            </w:r>
          </w:p>
        </w:tc>
      </w:tr>
    </w:tbl>
    <w:p>
      <w:pPr>
        <w:pStyle w:val="Heading1"/>
      </w:pPr>
      <w:r>
        <w:t>Grafici e Proiezioni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_costs_break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