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Quant Portfolio Report - TRB_EURJPY_USDJPY_Quant_Portfolio_006</w:t>
      </w:r>
    </w:p>
    <w:p>
      <w:r>
        <w:t>This portfolio combines 2 candidate(s) into one simulated equity stream using a shared starting deposit of $2,500.00.</w:t>
      </w:r>
    </w:p>
    <w:p>
      <w:pPr>
        <w:pStyle w:val="Heading1"/>
      </w:pPr>
      <w:r>
        <w:t>1. Portfolio Composition &amp; Standalone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Candidate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Run Folder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Weight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Standalone P/L %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Standalone Max DD %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Standalone PF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Avg Corr vs Others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8"/>
              </w:rPr>
              <w:t>cand_011 (USDJPY)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run_20260909_101955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1.00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78.85%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16.86%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1.65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0.22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8"/>
              </w:rPr>
              <w:t>cand_002 (EURJPY)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run_20260920_134306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1.00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97.72%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20.53%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2.14</w:t>
            </w:r>
          </w:p>
        </w:tc>
        <w:tc>
          <w:tcPr>
            <w:tcW w:type="dxa" w:w="1234"/>
          </w:tcPr>
          <w:p>
            <w:r>
              <w:rPr>
                <w:b w:val="0"/>
                <w:sz w:val="18"/>
              </w:rPr>
              <w:t>0.22</w:t>
            </w:r>
          </w:p>
        </w:tc>
      </w:tr>
    </w:tbl>
    <w:p>
      <w:pPr>
        <w:pStyle w:val="Heading1"/>
      </w:pPr>
      <w:r>
        <w:t>2. Pairwise Monthly P&amp;L Correlation</w:t>
      </w:r>
    </w:p>
    <w:p>
      <w:r>
        <w:t>Correlation is computed from each candidate's own unweighted monthly net P&amp;L. Off-diagonal values at or below 0.50 are shaded green; values above the threshold are shaded red.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 w:val="0"/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cand_011 (USDJPY)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cand_002 (EURJPY)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cand_011 (USDJPY)</w:t>
            </w:r>
          </w:p>
        </w:tc>
        <w:tc>
          <w:tcPr>
            <w:tcW w:type="dxa" w:w="2880"/>
            <w:shd w:val="clear" w:color="auto" w:fill="D9D9D9"/>
          </w:tcPr>
          <w:p>
            <w:r>
              <w:rPr>
                <w:b/>
                <w:sz w:val="18"/>
              </w:rPr>
              <w:t>1.00</w:t>
            </w:r>
          </w:p>
        </w:tc>
        <w:tc>
          <w:tcPr>
            <w:tcW w:type="dxa" w:w="2880"/>
            <w:shd w:val="clear" w:color="auto" w:fill="C6EFCE"/>
          </w:tcPr>
          <w:p>
            <w:r>
              <w:rPr>
                <w:b w:val="0"/>
                <w:sz w:val="18"/>
              </w:rPr>
              <w:t>0.22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cand_002 (EURJPY)</w:t>
            </w:r>
          </w:p>
        </w:tc>
        <w:tc>
          <w:tcPr>
            <w:tcW w:type="dxa" w:w="2880"/>
            <w:shd w:val="clear" w:color="auto" w:fill="C6EFCE"/>
          </w:tcPr>
          <w:p>
            <w:r>
              <w:rPr>
                <w:b w:val="0"/>
                <w:sz w:val="18"/>
              </w:rPr>
              <w:t>0.22</w:t>
            </w:r>
          </w:p>
        </w:tc>
        <w:tc>
          <w:tcPr>
            <w:tcW w:type="dxa" w:w="2880"/>
            <w:shd w:val="clear" w:color="auto" w:fill="D9D9D9"/>
          </w:tcPr>
          <w:p>
            <w:r>
              <w:rPr>
                <w:b/>
                <w:sz w:val="18"/>
              </w:rPr>
              <w:t>1.00</w:t>
            </w:r>
          </w:p>
        </w:tc>
      </w:tr>
    </w:tbl>
    <w:p>
      <w:pPr>
        <w:pStyle w:val="Heading1"/>
      </w:pPr>
      <w:r>
        <w:t>3. Combined Portfolio Performance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Profit / Loss ($)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$4,414.26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Profit / Loss (%)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176.57%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Max Balance Drawdown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$294.97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Max Balance Drawdown (%)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4.58%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Profit Factor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1.29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Recovery Factor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14.97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Return / Drawdown Ratio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14.97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Sharpe Ratio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1.30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Max Consecutive Wins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Max Consecutive Losses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0</w:t>
            </w:r>
          </w:p>
        </w:tc>
      </w:tr>
    </w:tbl>
    <w:p>
      <w:pPr>
        <w:pStyle w:val="Heading1"/>
      </w:pPr>
      <w:r>
        <w:t>4. Combined Trade Statistics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Total Completed Trades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671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Profit Trades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348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Loss Trades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323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Breakeven Trades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Long Trades (Won %)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N/A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Short Trades (Won %)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N/A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Average Win per Trade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$56.78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Average Loss per Trade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$-47.51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Largest Profit Trade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$400.86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Largest Loss Trade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$-215.95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Gross Profit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$19,759.97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Gross Loss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$-15,345.71</w:t>
            </w:r>
          </w:p>
        </w:tc>
      </w:tr>
    </w:tbl>
    <w:p>
      <w:pPr>
        <w:pStyle w:val="Heading2"/>
      </w:pPr>
      <w:r>
        <w:t>4A. Trade Count Audit</w:t>
      </w:r>
    </w:p>
    <w:p>
      <w:r>
        <w:t>cand_011: 486 completed trade(s) from MT5's official tester summary (STAT_TRADES); 2,216 raw activity/deal rows were used for the equity stream.</w:t>
      </w:r>
    </w:p>
    <w:p>
      <w:r>
        <w:t>cand_002: 185 completed trade(s) from MT5's official tester summary (STAT_TRADES); 965 raw activity/deal rows were used for the equity stream.</w:t>
      </w:r>
    </w:p>
    <w:p>
      <w:pPr>
        <w:pStyle w:val="Heading1"/>
      </w:pPr>
      <w:r>
        <w:t>5. Combined Averages &amp; Holding Times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Average Trades per Month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4.14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Average Profit per Day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$0.90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Average Profit per Month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$27.25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Average Profit per Year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$326.97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Min Position Holding Time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N/A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Max Position Holding Time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N/A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Avg Position Holding Time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N/A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Historical Trading Days (Active)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1,614</w:t>
            </w:r>
          </w:p>
        </w:tc>
      </w:tr>
    </w:tbl>
    <w:p>
      <w:pPr>
        <w:pStyle w:val="Heading1"/>
      </w:pPr>
      <w:r>
        <w:t>6. Combined Equity Curves</w:t>
      </w:r>
    </w:p>
    <w:p>
      <w:r>
        <w:rPr>
          <w:b/>
        </w:rPr>
        <w:t>Total Profit / Loss ($)</w:t>
      </w:r>
    </w:p>
    <w:p>
      <w:r>
        <w:drawing>
          <wp:inline xmlns:a="http://schemas.openxmlformats.org/drawingml/2006/main" xmlns:pic="http://schemas.openxmlformats.org/drawingml/2006/picture">
            <wp:extent cx="6309360" cy="30905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rofit_dollar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905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Equity / Balance Growth</w:t>
      </w:r>
    </w:p>
    <w:p>
      <w:r>
        <w:drawing>
          <wp:inline xmlns:a="http://schemas.openxmlformats.org/drawingml/2006/main" xmlns:pic="http://schemas.openxmlformats.org/drawingml/2006/picture">
            <wp:extent cx="6309360" cy="30905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equity_growt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905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Percentage Gain / Loss (%)</w:t>
      </w:r>
    </w:p>
    <w:p>
      <w:r>
        <w:drawing>
          <wp:inline xmlns:a="http://schemas.openxmlformats.org/drawingml/2006/main" xmlns:pic="http://schemas.openxmlformats.org/drawingml/2006/picture">
            <wp:extent cx="6309360" cy="309057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ercent_ga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905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Individual Candidates vs Combined Portfolio</w:t>
      </w:r>
    </w:p>
    <w:p>
      <w:r>
        <w:drawing>
          <wp:inline xmlns:a="http://schemas.openxmlformats.org/drawingml/2006/main" xmlns:pic="http://schemas.openxmlformats.org/drawingml/2006/picture">
            <wp:extent cx="6309360" cy="32727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andidates_vs_combin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72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Combined Monthly Performance Heatmap ($ and %)</w:t>
      </w:r>
    </w:p>
    <w:p>
      <w:r>
        <w:drawing>
          <wp:inline xmlns:a="http://schemas.openxmlformats.org/drawingml/2006/main" xmlns:pic="http://schemas.openxmlformats.org/drawingml/2006/picture">
            <wp:extent cx="6309360" cy="403736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thly_performance_heat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037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Monthly P&amp;L is shown in dollars; percentage is monthly (or yearly for the Total column) P&amp;L divided by the shared starting deposit.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>
              <w:rPr>
                <w:b/>
                <w:sz w:val="18"/>
              </w:rPr>
              <w:t>Year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Jan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Feb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Mar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Apr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May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Jun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Jul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Aug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Sep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Oct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Nov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Dec</w:t>
            </w:r>
          </w:p>
        </w:tc>
        <w:tc>
          <w:tcPr>
            <w:tcW w:type="dxa" w:w="617"/>
          </w:tcPr>
          <w:p>
            <w:r>
              <w:rPr>
                <w:b/>
                <w:sz w:val="18"/>
              </w:rPr>
              <w:t>Total</w:t>
            </w:r>
          </w:p>
        </w:tc>
      </w:tr>
      <w:tr>
        <w:tc>
          <w:tcPr>
            <w:tcW w:type="dxa" w:w="617"/>
          </w:tcPr>
          <w:p>
            <w:r>
              <w:rPr>
                <w:b/>
                <w:sz w:val="18"/>
              </w:rPr>
              <w:t>2013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$-13</w:t>
              <w:br/>
              <w:t>(-0.5%)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$52</w:t>
              <w:br/>
              <w:t>(+2.1%)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$11</w:t>
              <w:br/>
              <w:t>(+0.4%)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$-14</w:t>
              <w:br/>
              <w:t>(-0.6%)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$103</w:t>
              <w:br/>
              <w:t>(+4.1%)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$19</w:t>
              <w:br/>
              <w:t>(+0.8%)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$91</w:t>
              <w:br/>
              <w:t>(+3.6%)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$19</w:t>
              <w:br/>
              <w:t>(+0.8%)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$10</w:t>
              <w:br/>
              <w:t>(+0.4%)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$27</w:t>
              <w:br/>
              <w:t>(+1.1%)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$34</w:t>
              <w:br/>
              <w:t>(+1.4%)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$156</w:t>
              <w:br/>
              <w:t>(+6.2%)</w:t>
            </w:r>
          </w:p>
        </w:tc>
        <w:tc>
          <w:tcPr>
            <w:tcW w:type="dxa" w:w="617"/>
          </w:tcPr>
          <w:p>
            <w:r>
              <w:rPr>
                <w:b/>
                <w:color w:val="008000"/>
                <w:sz w:val="18"/>
              </w:rPr>
              <w:t>$495</w:t>
              <w:br/>
              <w:t>(+19.8%)</w:t>
            </w:r>
          </w:p>
        </w:tc>
      </w:tr>
      <w:tr>
        <w:tc>
          <w:tcPr>
            <w:tcW w:type="dxa" w:w="617"/>
          </w:tcPr>
          <w:p>
            <w:r>
              <w:rPr>
                <w:b/>
                <w:sz w:val="18"/>
              </w:rPr>
              <w:t>2014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$-13</w:t>
              <w:br/>
              <w:t>(-0.5%)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$-32</w:t>
              <w:br/>
              <w:t>(-1.3%)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$6</w:t>
              <w:br/>
              <w:t>(+0.2%)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$15</w:t>
              <w:br/>
              <w:t>(+0.6%)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$3</w:t>
              <w:br/>
              <w:t>(+0.1%)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</w:t>
              <w:br/>
              <w:t>(+0.1%)</w:t>
            </w:r>
          </w:p>
        </w:tc>
        <w:tc>
          <w:tcPr>
            <w:tcW w:type="dxa" w:w="617"/>
          </w:tcPr>
          <w:p>
            <w:r>
              <w:rPr>
                <w:b w:val="0"/>
                <w:sz w:val="18"/>
              </w:rPr>
              <w:t>$0</w:t>
              <w:br/>
              <w:t>(+0.0%)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</w:t>
              <w:br/>
              <w:t>(+0.0%)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$9</w:t>
              <w:br/>
              <w:t>(+0.3%)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$64</w:t>
              <w:br/>
              <w:t>(+2.6%)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$68</w:t>
              <w:br/>
              <w:t>(+2.7%)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$140</w:t>
              <w:br/>
              <w:t>(+5.6%)</w:t>
            </w:r>
          </w:p>
        </w:tc>
        <w:tc>
          <w:tcPr>
            <w:tcW w:type="dxa" w:w="617"/>
          </w:tcPr>
          <w:p>
            <w:r>
              <w:rPr>
                <w:b/>
                <w:color w:val="008000"/>
                <w:sz w:val="18"/>
              </w:rPr>
              <w:t>$261</w:t>
              <w:br/>
              <w:t>(+10.4%)</w:t>
            </w:r>
          </w:p>
        </w:tc>
      </w:tr>
      <w:tr>
        <w:tc>
          <w:tcPr>
            <w:tcW w:type="dxa" w:w="617"/>
          </w:tcPr>
          <w:p>
            <w:r>
              <w:rPr>
                <w:b/>
                <w:sz w:val="18"/>
              </w:rPr>
              <w:t>2015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$157</w:t>
              <w:br/>
              <w:t>(+6.3%)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$17</w:t>
              <w:br/>
              <w:t>(+0.7%)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$84</w:t>
              <w:br/>
              <w:t>(+3.4%)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$-40</w:t>
              <w:br/>
              <w:t>(-1.6%)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$112</w:t>
              <w:br/>
              <w:t>(+4.5%)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$48</w:t>
              <w:br/>
              <w:t>(+1.9%)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$122</w:t>
              <w:br/>
              <w:t>(+4.9%)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$5</w:t>
              <w:br/>
              <w:t>(+0.2%)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$95</w:t>
              <w:br/>
              <w:t>(+3.8%)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$6</w:t>
              <w:br/>
              <w:t>(+0.2%)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$3</w:t>
              <w:br/>
              <w:t>(+0.1%)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$-6</w:t>
              <w:br/>
              <w:t>(-0.2%)</w:t>
            </w:r>
          </w:p>
        </w:tc>
        <w:tc>
          <w:tcPr>
            <w:tcW w:type="dxa" w:w="617"/>
          </w:tcPr>
          <w:p>
            <w:r>
              <w:rPr>
                <w:b/>
                <w:color w:val="008000"/>
                <w:sz w:val="18"/>
              </w:rPr>
              <w:t>$604</w:t>
              <w:br/>
              <w:t>(+24.1%)</w:t>
            </w:r>
          </w:p>
        </w:tc>
      </w:tr>
      <w:tr>
        <w:tc>
          <w:tcPr>
            <w:tcW w:type="dxa" w:w="617"/>
          </w:tcPr>
          <w:p>
            <w:r>
              <w:rPr>
                <w:b/>
                <w:sz w:val="18"/>
              </w:rPr>
              <w:t>2016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$-18</w:t>
              <w:br/>
              <w:t>(-0.7%)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$-58</w:t>
              <w:br/>
              <w:t>(-2.3%)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$44</w:t>
              <w:br/>
              <w:t>(+1.8%)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$156</w:t>
              <w:br/>
              <w:t>(+6.2%)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$19</w:t>
              <w:br/>
              <w:t>(+0.8%)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$116</w:t>
              <w:br/>
              <w:t>(+4.6%)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$295</w:t>
              <w:br/>
              <w:t>(+11.8%)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$-12</w:t>
              <w:br/>
              <w:t>(-0.5%)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$-65</w:t>
              <w:br/>
              <w:t>(-2.6%)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$10</w:t>
              <w:br/>
              <w:t>(+0.4%)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$-26</w:t>
              <w:br/>
              <w:t>(-1.0%)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$49</w:t>
              <w:br/>
              <w:t>(+2.0%)</w:t>
            </w:r>
          </w:p>
        </w:tc>
        <w:tc>
          <w:tcPr>
            <w:tcW w:type="dxa" w:w="617"/>
          </w:tcPr>
          <w:p>
            <w:r>
              <w:rPr>
                <w:b/>
                <w:color w:val="008000"/>
                <w:sz w:val="18"/>
              </w:rPr>
              <w:t>$510</w:t>
              <w:br/>
              <w:t>(+20.4%)</w:t>
            </w:r>
          </w:p>
        </w:tc>
      </w:tr>
      <w:tr>
        <w:tc>
          <w:tcPr>
            <w:tcW w:type="dxa" w:w="617"/>
          </w:tcPr>
          <w:p>
            <w:r>
              <w:rPr>
                <w:b/>
                <w:sz w:val="18"/>
              </w:rPr>
              <w:t>2017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$-5</w:t>
              <w:br/>
              <w:t>(-0.2%)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$13</w:t>
              <w:br/>
              <w:t>(+0.5%)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$0</w:t>
              <w:br/>
              <w:t>(+0.0%)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$-8</w:t>
              <w:br/>
              <w:t>(-0.3%)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$43</w:t>
              <w:br/>
              <w:t>(+1.7%)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$-10</w:t>
              <w:br/>
              <w:t>(-0.4%)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$8</w:t>
              <w:br/>
              <w:t>(+0.3%)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$-28</w:t>
              <w:br/>
              <w:t>(-1.1%)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$101</w:t>
              <w:br/>
              <w:t>(+4.0%)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$4</w:t>
              <w:br/>
              <w:t>(+0.2%)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$16</w:t>
              <w:br/>
              <w:t>(+0.7%)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$-3</w:t>
              <w:br/>
              <w:t>(-0.1%)</w:t>
            </w:r>
          </w:p>
        </w:tc>
        <w:tc>
          <w:tcPr>
            <w:tcW w:type="dxa" w:w="617"/>
          </w:tcPr>
          <w:p>
            <w:r>
              <w:rPr>
                <w:b/>
                <w:color w:val="008000"/>
                <w:sz w:val="18"/>
              </w:rPr>
              <w:t>$132</w:t>
              <w:br/>
              <w:t>(+5.3%)</w:t>
            </w:r>
          </w:p>
        </w:tc>
      </w:tr>
      <w:tr>
        <w:tc>
          <w:tcPr>
            <w:tcW w:type="dxa" w:w="617"/>
          </w:tcPr>
          <w:p>
            <w:r>
              <w:rPr>
                <w:b/>
                <w:sz w:val="18"/>
              </w:rPr>
              <w:t>2018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$31</w:t>
              <w:br/>
              <w:t>(+1.2%)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$59</w:t>
              <w:br/>
              <w:t>(+2.3%)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$45</w:t>
              <w:br/>
              <w:t>(+1.8%)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$-1</w:t>
              <w:br/>
              <w:t>(-0.0%)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$40</w:t>
              <w:br/>
              <w:t>(+1.6%)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$-49</w:t>
              <w:br/>
              <w:t>(-2.0%)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$6</w:t>
              <w:br/>
              <w:t>(+0.3%)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</w:t>
              <w:br/>
              <w:t>(+0.0%)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$-31</w:t>
              <w:br/>
              <w:t>(-1.3%)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$-4</w:t>
              <w:br/>
              <w:t>(-0.1%)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$12</w:t>
              <w:br/>
              <w:t>(+0.5%)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$25</w:t>
              <w:br/>
              <w:t>(+1.0%)</w:t>
            </w:r>
          </w:p>
        </w:tc>
        <w:tc>
          <w:tcPr>
            <w:tcW w:type="dxa" w:w="617"/>
          </w:tcPr>
          <w:p>
            <w:r>
              <w:rPr>
                <w:b/>
                <w:color w:val="008000"/>
                <w:sz w:val="18"/>
              </w:rPr>
              <w:t>$134</w:t>
              <w:br/>
              <w:t>(+5.4%)</w:t>
            </w:r>
          </w:p>
        </w:tc>
      </w:tr>
      <w:tr>
        <w:tc>
          <w:tcPr>
            <w:tcW w:type="dxa" w:w="617"/>
          </w:tcPr>
          <w:p>
            <w:r>
              <w:rPr>
                <w:b/>
                <w:sz w:val="18"/>
              </w:rPr>
              <w:t>2019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$5</w:t>
              <w:br/>
              <w:t>(+0.2%)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$5</w:t>
              <w:br/>
              <w:t>(+0.2%)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$-3</w:t>
              <w:br/>
              <w:t>(-0.1%)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</w:t>
              <w:br/>
              <w:t>(+0.1%)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$-2</w:t>
              <w:br/>
              <w:t>(-0.1%)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$-17</w:t>
              <w:br/>
              <w:t>(-0.7%)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</w:t>
              <w:br/>
              <w:t>(+0.1%)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$-9</w:t>
              <w:br/>
              <w:t>(-0.4%)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$3</w:t>
              <w:br/>
              <w:t>(+0.1%)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$3</w:t>
              <w:br/>
              <w:t>(+0.1%)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</w:t>
              <w:br/>
              <w:t>(+0.0%)</w:t>
            </w:r>
          </w:p>
        </w:tc>
        <w:tc>
          <w:tcPr>
            <w:tcW w:type="dxa" w:w="617"/>
          </w:tcPr>
          <w:p>
            <w:r>
              <w:rPr>
                <w:b w:val="0"/>
                <w:sz w:val="18"/>
              </w:rPr>
              <w:t>$0</w:t>
              <w:br/>
              <w:t>(+0.0%)</w:t>
            </w:r>
          </w:p>
        </w:tc>
        <w:tc>
          <w:tcPr>
            <w:tcW w:type="dxa" w:w="617"/>
          </w:tcPr>
          <w:p>
            <w:r>
              <w:rPr>
                <w:b/>
                <w:color w:val="C00000"/>
                <w:sz w:val="18"/>
              </w:rPr>
              <w:t>$-11</w:t>
              <w:br/>
              <w:t>(-0.4%)</w:t>
            </w:r>
          </w:p>
        </w:tc>
      </w:tr>
      <w:tr>
        <w:tc>
          <w:tcPr>
            <w:tcW w:type="dxa" w:w="617"/>
          </w:tcPr>
          <w:p>
            <w:r>
              <w:rPr>
                <w:b/>
                <w:sz w:val="18"/>
              </w:rPr>
              <w:t>2020</w:t>
            </w:r>
          </w:p>
        </w:tc>
        <w:tc>
          <w:tcPr>
            <w:tcW w:type="dxa" w:w="617"/>
          </w:tcPr>
          <w:p>
            <w:r>
              <w:rPr>
                <w:b w:val="0"/>
                <w:sz w:val="18"/>
              </w:rPr>
              <w:t>$0</w:t>
              <w:br/>
              <w:t>(+0.0%)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$30</w:t>
              <w:br/>
              <w:t>(+1.2%)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$102</w:t>
              <w:br/>
              <w:t>(+4.1%)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$-44</w:t>
              <w:br/>
              <w:t>(-1.8%)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$8</w:t>
              <w:br/>
              <w:t>(+0.3%)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$-7</w:t>
              <w:br/>
              <w:t>(-0.3%)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$5</w:t>
              <w:br/>
              <w:t>(+0.2%)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$4</w:t>
              <w:br/>
              <w:t>(+0.2%)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$3</w:t>
              <w:br/>
              <w:t>(+0.1%)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$8</w:t>
              <w:br/>
              <w:t>(+0.3%)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$4</w:t>
              <w:br/>
              <w:t>(+0.2%)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</w:t>
              <w:br/>
              <w:t>(+0.1%)</w:t>
            </w:r>
          </w:p>
        </w:tc>
        <w:tc>
          <w:tcPr>
            <w:tcW w:type="dxa" w:w="617"/>
          </w:tcPr>
          <w:p>
            <w:r>
              <w:rPr>
                <w:b/>
                <w:color w:val="008000"/>
                <w:sz w:val="18"/>
              </w:rPr>
              <w:t>$117</w:t>
              <w:br/>
              <w:t>(+4.7%)</w:t>
            </w:r>
          </w:p>
        </w:tc>
      </w:tr>
      <w:tr>
        <w:tc>
          <w:tcPr>
            <w:tcW w:type="dxa" w:w="617"/>
          </w:tcPr>
          <w:p>
            <w:r>
              <w:rPr>
                <w:b/>
                <w:sz w:val="18"/>
              </w:rPr>
              <w:t>2021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$20</w:t>
              <w:br/>
              <w:t>(+0.8%)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$3</w:t>
              <w:br/>
              <w:t>(+0.1%)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$15</w:t>
              <w:br/>
              <w:t>(+0.6%)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$-6</w:t>
              <w:br/>
              <w:t>(-0.3%)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$3</w:t>
              <w:br/>
              <w:t>(+0.1%)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</w:t>
              <w:br/>
              <w:t>(+0.0%)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$20</w:t>
              <w:br/>
              <w:t>(+0.8%)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</w:t>
              <w:br/>
              <w:t>(+0.0%)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$-7</w:t>
              <w:br/>
              <w:t>(-0.3%)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$23</w:t>
              <w:br/>
              <w:t>(+0.9%)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$-9</w:t>
              <w:br/>
              <w:t>(-0.4%)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$-3</w:t>
              <w:br/>
              <w:t>(-0.1%)</w:t>
            </w:r>
          </w:p>
        </w:tc>
        <w:tc>
          <w:tcPr>
            <w:tcW w:type="dxa" w:w="617"/>
          </w:tcPr>
          <w:p>
            <w:r>
              <w:rPr>
                <w:b/>
                <w:color w:val="008000"/>
                <w:sz w:val="18"/>
              </w:rPr>
              <w:t>$60</w:t>
              <w:br/>
              <w:t>(+2.4%)</w:t>
            </w:r>
          </w:p>
        </w:tc>
      </w:tr>
      <w:tr>
        <w:tc>
          <w:tcPr>
            <w:tcW w:type="dxa" w:w="617"/>
          </w:tcPr>
          <w:p>
            <w:r>
              <w:rPr>
                <w:b/>
                <w:sz w:val="18"/>
              </w:rPr>
              <w:t>2022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$-9</w:t>
              <w:br/>
              <w:t>(-0.4%)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$-14</w:t>
              <w:br/>
              <w:t>(-0.6%)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$328</w:t>
              <w:br/>
              <w:t>(+13.1%)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$146</w:t>
              <w:br/>
              <w:t>(+5.8%)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</w:t>
              <w:br/>
              <w:t>(+0.1%)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$-25</w:t>
              <w:br/>
              <w:t>(-1.0%)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$-47</w:t>
              <w:br/>
              <w:t>(-1.9%)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$58</w:t>
              <w:br/>
              <w:t>(+2.3%)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$205</w:t>
              <w:br/>
              <w:t>(+8.2%)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$9</w:t>
              <w:br/>
              <w:t>(+0.4%)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$13</w:t>
              <w:br/>
              <w:t>(+0.5%)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$115</w:t>
              <w:br/>
              <w:t>(+4.6%)</w:t>
            </w:r>
          </w:p>
        </w:tc>
        <w:tc>
          <w:tcPr>
            <w:tcW w:type="dxa" w:w="617"/>
          </w:tcPr>
          <w:p>
            <w:r>
              <w:rPr>
                <w:b/>
                <w:color w:val="008000"/>
                <w:sz w:val="18"/>
              </w:rPr>
              <w:t>$782</w:t>
              <w:br/>
              <w:t>(+31.3%)</w:t>
            </w:r>
          </w:p>
        </w:tc>
      </w:tr>
      <w:tr>
        <w:tc>
          <w:tcPr>
            <w:tcW w:type="dxa" w:w="617"/>
          </w:tcPr>
          <w:p>
            <w:r>
              <w:rPr>
                <w:b/>
                <w:sz w:val="18"/>
              </w:rPr>
              <w:t>2023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$19</w:t>
              <w:br/>
              <w:t>(+0.8%)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$27</w:t>
              <w:br/>
              <w:t>(+1.1%)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$58</w:t>
              <w:br/>
              <w:t>(+2.3%)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$-10</w:t>
              <w:br/>
              <w:t>(-0.4%)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$-9</w:t>
              <w:br/>
              <w:t>(-0.3%)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$12</w:t>
              <w:br/>
              <w:t>(+0.5%)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$50</w:t>
              <w:br/>
              <w:t>(+2.0%)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$16</w:t>
              <w:br/>
              <w:t>(+0.6%)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$-18</w:t>
              <w:br/>
              <w:t>(-0.7%)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$85</w:t>
              <w:br/>
              <w:t>(+3.4%)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$10</w:t>
              <w:br/>
              <w:t>(+0.4%)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$274</w:t>
              <w:br/>
              <w:t>(+11.0%)</w:t>
            </w:r>
          </w:p>
        </w:tc>
        <w:tc>
          <w:tcPr>
            <w:tcW w:type="dxa" w:w="617"/>
          </w:tcPr>
          <w:p>
            <w:r>
              <w:rPr>
                <w:b/>
                <w:color w:val="008000"/>
                <w:sz w:val="18"/>
              </w:rPr>
              <w:t>$515</w:t>
              <w:br/>
              <w:t>(+20.6%)</w:t>
            </w:r>
          </w:p>
        </w:tc>
      </w:tr>
      <w:tr>
        <w:tc>
          <w:tcPr>
            <w:tcW w:type="dxa" w:w="617"/>
          </w:tcPr>
          <w:p>
            <w:r>
              <w:rPr>
                <w:b/>
                <w:sz w:val="18"/>
              </w:rPr>
              <w:t>2024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$51</w:t>
              <w:br/>
              <w:t>(+2.0%)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$30</w:t>
              <w:br/>
              <w:t>(+1.2%)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$65</w:t>
              <w:br/>
              <w:t>(+2.6%)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$17</w:t>
              <w:br/>
              <w:t>(+0.7%)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$10</w:t>
              <w:br/>
              <w:t>(+0.4%)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$-13</w:t>
              <w:br/>
              <w:t>(-0.5%)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$145</w:t>
              <w:br/>
              <w:t>(+5.8%)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$-59</w:t>
              <w:br/>
              <w:t>(-2.3%)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$-109</w:t>
              <w:br/>
              <w:t>(-4.4%)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$-31</w:t>
              <w:br/>
              <w:t>(-1.2%)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$43</w:t>
              <w:br/>
              <w:t>(+1.7%)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$56</w:t>
              <w:br/>
              <w:t>(+2.2%)</w:t>
            </w:r>
          </w:p>
        </w:tc>
        <w:tc>
          <w:tcPr>
            <w:tcW w:type="dxa" w:w="617"/>
          </w:tcPr>
          <w:p>
            <w:r>
              <w:rPr>
                <w:b/>
                <w:color w:val="008000"/>
                <w:sz w:val="18"/>
              </w:rPr>
              <w:t>$205</w:t>
              <w:br/>
              <w:t>(+8.2%)</w:t>
            </w:r>
          </w:p>
        </w:tc>
      </w:tr>
      <w:tr>
        <w:tc>
          <w:tcPr>
            <w:tcW w:type="dxa" w:w="617"/>
          </w:tcPr>
          <w:p>
            <w:r>
              <w:rPr>
                <w:b/>
                <w:sz w:val="18"/>
              </w:rPr>
              <w:t>2025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$25</w:t>
              <w:br/>
              <w:t>(+1.0%)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$-19</w:t>
              <w:br/>
              <w:t>(-0.8%)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$77</w:t>
              <w:br/>
              <w:t>(+3.1%)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$-3</w:t>
              <w:br/>
              <w:t>(-0.1%)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$168</w:t>
              <w:br/>
              <w:t>(+6.7%)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$78</w:t>
              <w:br/>
              <w:t>(+3.1%)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$23</w:t>
              <w:br/>
              <w:t>(+0.9%)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$-11</w:t>
              <w:br/>
              <w:t>(-0.5%)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$93</w:t>
              <w:br/>
              <w:t>(+3.7%)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$67</w:t>
              <w:br/>
              <w:t>(+2.7%)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$2</w:t>
              <w:br/>
              <w:t>(+0.1%)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$87</w:t>
              <w:br/>
              <w:t>(+3.5%)</w:t>
            </w:r>
          </w:p>
        </w:tc>
        <w:tc>
          <w:tcPr>
            <w:tcW w:type="dxa" w:w="617"/>
          </w:tcPr>
          <w:p>
            <w:r>
              <w:rPr>
                <w:b/>
                <w:color w:val="008000"/>
                <w:sz w:val="18"/>
              </w:rPr>
              <w:t>$584</w:t>
              <w:br/>
              <w:t>(+23.4%)</w:t>
            </w:r>
          </w:p>
        </w:tc>
      </w:tr>
      <w:tr>
        <w:tc>
          <w:tcPr>
            <w:tcW w:type="dxa" w:w="617"/>
          </w:tcPr>
          <w:p>
            <w:r>
              <w:rPr>
                <w:b/>
                <w:sz w:val="18"/>
              </w:rPr>
              <w:t>2026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$62</w:t>
              <w:br/>
              <w:t>(+2.5%)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$-6</w:t>
              <w:br/>
              <w:t>(-0.2%)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$5</w:t>
              <w:br/>
              <w:t>(+0.2%)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$-3</w:t>
              <w:br/>
              <w:t>(-0.1%)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$-9</w:t>
              <w:br/>
              <w:t>(-0.4%)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C00000"/>
                <w:sz w:val="18"/>
              </w:rPr>
              <w:t>$-23</w:t>
              <w:br/>
              <w:t>(-0.9%)</w:t>
            </w:r>
          </w:p>
        </w:tc>
        <w:tc>
          <w:tcPr>
            <w:tcW w:type="dxa" w:w="617"/>
          </w:tcPr>
          <w:p>
            <w:r>
              <w:rPr>
                <w:b w:val="0"/>
                <w:color w:val="008000"/>
                <w:sz w:val="18"/>
              </w:rPr>
              <w:t>$1</w:t>
              <w:br/>
              <w:t>(+0.0%)</w:t>
            </w:r>
          </w:p>
        </w:tc>
        <w:tc>
          <w:tcPr>
            <w:tcW w:type="dxa" w:w="617"/>
          </w:tcPr>
          <w:p>
            <w:r>
              <w:rPr>
                <w:b w:val="0"/>
                <w:sz w:val="18"/>
              </w:rPr>
              <w:t>$0</w:t>
              <w:br/>
              <w:t>(+0.0%)</w:t>
            </w:r>
          </w:p>
        </w:tc>
        <w:tc>
          <w:tcPr>
            <w:tcW w:type="dxa" w:w="617"/>
          </w:tcPr>
          <w:p>
            <w:r>
              <w:rPr>
                <w:b w:val="0"/>
                <w:sz w:val="18"/>
              </w:rPr>
              <w:t>$0</w:t>
              <w:br/>
              <w:t>(+0.0%)</w:t>
            </w:r>
          </w:p>
        </w:tc>
        <w:tc>
          <w:tcPr>
            <w:tcW w:type="dxa" w:w="617"/>
          </w:tcPr>
          <w:p>
            <w:r>
              <w:rPr>
                <w:b w:val="0"/>
                <w:sz w:val="18"/>
              </w:rPr>
              <w:t>$0</w:t>
              <w:br/>
              <w:t>(+0.0%)</w:t>
            </w:r>
          </w:p>
        </w:tc>
        <w:tc>
          <w:tcPr>
            <w:tcW w:type="dxa" w:w="617"/>
          </w:tcPr>
          <w:p>
            <w:r>
              <w:rPr>
                <w:b w:val="0"/>
                <w:sz w:val="18"/>
              </w:rPr>
              <w:t>$0</w:t>
              <w:br/>
              <w:t>(+0.0%)</w:t>
            </w:r>
          </w:p>
        </w:tc>
        <w:tc>
          <w:tcPr>
            <w:tcW w:type="dxa" w:w="617"/>
          </w:tcPr>
          <w:p>
            <w:r>
              <w:rPr>
                <w:b w:val="0"/>
                <w:sz w:val="18"/>
              </w:rPr>
              <w:t>$0</w:t>
              <w:br/>
              <w:t>(+0.0%)</w:t>
            </w:r>
          </w:p>
        </w:tc>
        <w:tc>
          <w:tcPr>
            <w:tcW w:type="dxa" w:w="617"/>
          </w:tcPr>
          <w:p>
            <w:r>
              <w:rPr>
                <w:b/>
                <w:color w:val="008000"/>
                <w:sz w:val="18"/>
              </w:rPr>
              <w:t>$26</w:t>
              <w:br/>
              <w:t>(+1.1%)</w:t>
            </w:r>
          </w:p>
        </w:tc>
      </w:tr>
    </w:tbl>
    <w:p>
      <w:pPr>
        <w:pStyle w:val="Heading1"/>
      </w:pPr>
      <w:r>
        <w:t>8. Data Quality &amp; Calculation Notes</w:t>
      </w:r>
    </w:p>
    <w:p>
      <w:r>
        <w:t>Combined from 2 candidate report(s). The portfolio starts from one shared deposit; the individual candidates' deposits are not added together.</w:t>
      </w:r>
    </w:p>
    <w:p>
      <w:r>
        <w:t>The chronological equity stream retains each parsed monetary activity row exactly once, after applying the configured portfolio weight.</w:t>
      </w:r>
    </w:p>
    <w:p>
      <w:r>
        <w:t>Trade statistics are NOT counted from raw MT5 deal-row count. Where Position IDs are available, all activity belonging to one Position ID is aggregated into one completed trade.</w:t>
      </w:r>
    </w:p>
    <w:p>
      <w:r>
        <w:t>Monthly correlation uses unweighted monthly net P&amp;L so portfolio sizing does not distort the diversification measurement.</w:t>
      </w:r>
    </w:p>
    <w:p>
      <w:r>
        <w:t>Portfolio max drawdown is calculated from the combined chronological balance curve.</w:t>
      </w:r>
    </w:p>
    <w:p>
      <w:r>
        <w:t>The report uses MT5's official STAT_TRADES value for the completed trade count when available. Raw deal/activity rows are retained for equity and monetary statistics. Position-level win/loss breakdowns are not fabricated when the parsed HTML does not expose Position IDs.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