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Strategy Default Backtest Report</w:t>
      </w:r>
    </w:p>
    <w:p>
      <w:pPr>
        <w:jc w:val="center"/>
      </w:pPr>
      <w:r>
        <w:rPr>
          <w:b/>
          <w:sz w:val="28"/>
        </w:rPr>
        <w:t>Strategy / EA: HA V1.0</w:t>
      </w:r>
    </w:p>
    <w:p>
      <w:pPr>
        <w:jc w:val="center"/>
      </w:pPr>
      <w:r>
        <w:t>Expert: HA V1.0.ex5  |  Symbol: XAUUSD Dukascopy  |  Timeframe: M15</w:t>
        <w:br/>
        <w:t>Backtest Period: 2013.01.01  -&gt;  2026.07.03  |  Initial Deposit: $2,500.00</w:t>
        <w:br/>
        <w:t>Generated: 2026-09-23 08:05:46 UTC</w:t>
      </w:r>
    </w:p>
    <w:p>
      <w:r>
        <w:t>This report documents the DEFAULT (un-optimised baseline) backtest for this researched strategy. It establishes baseline performance and trade mechanics directly from the EA's core MQL5 implementation prior to running genetic parameter optimization and robustness stress-tests.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Net Profit ($)</w:t>
            </w:r>
          </w:p>
        </w:tc>
        <w:tc>
          <w:tcPr>
            <w:tcW w:type="dxa" w:w="4320"/>
          </w:tcPr>
          <w:p>
            <w:r>
              <w:t>20,901.1400</w:t>
            </w:r>
          </w:p>
        </w:tc>
      </w:tr>
      <w:tr>
        <w:tc>
          <w:tcPr>
            <w:tcW w:type="dxa" w:w="4320"/>
          </w:tcPr>
          <w:p>
            <w:r>
              <w:t>Net Profit (%)</w:t>
            </w:r>
          </w:p>
        </w:tc>
        <w:tc>
          <w:tcPr>
            <w:tcW w:type="dxa" w:w="4320"/>
          </w:tcPr>
          <w:p>
            <w:r>
              <w:t>836.0456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1.1700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0.4100</w:t>
            </w:r>
          </w:p>
        </w:tc>
      </w:tr>
      <w:tr>
        <w:tc>
          <w:tcPr>
            <w:tcW w:type="dxa" w:w="4320"/>
          </w:tcPr>
          <w:p>
            <w:r>
              <w:t>Max Balance Drawdown (%)</w:t>
            </w:r>
          </w:p>
        </w:tc>
        <w:tc>
          <w:tcPr>
            <w:tcW w:type="dxa" w:w="4320"/>
          </w:tcPr>
          <w:p>
            <w:r>
              <w:t>20.1500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2.1100</w:t>
            </w:r>
          </w:p>
        </w:tc>
      </w:tr>
      <w:tr>
        <w:tc>
          <w:tcPr>
            <w:tcW w:type="dxa" w:w="4320"/>
          </w:tcPr>
          <w:p>
            <w:r>
              <w:t>Win Rate (%)</w:t>
            </w:r>
          </w:p>
        </w:tc>
        <w:tc>
          <w:tcPr>
            <w:tcW w:type="dxa" w:w="4320"/>
          </w:tcPr>
          <w:p>
            <w:r>
              <w:t>40.2800</w:t>
            </w:r>
          </w:p>
        </w:tc>
      </w:tr>
      <w:tr>
        <w:tc>
          <w:tcPr>
            <w:tcW w:type="dxa" w:w="4320"/>
          </w:tcPr>
          <w:p>
            <w:r>
              <w:t>Total Trades</w:t>
            </w:r>
          </w:p>
        </w:tc>
        <w:tc>
          <w:tcPr>
            <w:tcW w:type="dxa" w:w="4320"/>
          </w:tcPr>
          <w:p>
            <w:r>
              <w:t>1363</w:t>
            </w:r>
          </w:p>
        </w:tc>
      </w:tr>
      <w:tr>
        <w:tc>
          <w:tcPr>
            <w:tcW w:type="dxa" w:w="4320"/>
          </w:tcPr>
          <w:p>
            <w:r>
              <w:t>Largest Profit Trade ($)</w:t>
            </w:r>
          </w:p>
        </w:tc>
        <w:tc>
          <w:tcPr>
            <w:tcW w:type="dxa" w:w="4320"/>
          </w:tcPr>
          <w:p>
            <w:r>
              <w:t>3,973.5500</w:t>
            </w:r>
          </w:p>
        </w:tc>
      </w:tr>
      <w:tr>
        <w:tc>
          <w:tcPr>
            <w:tcW w:type="dxa" w:w="4320"/>
          </w:tcPr>
          <w:p>
            <w:r>
              <w:t>Largest Loss Trade ($)</w:t>
            </w:r>
          </w:p>
        </w:tc>
        <w:tc>
          <w:tcPr>
            <w:tcW w:type="dxa" w:w="4320"/>
          </w:tcPr>
          <w:p>
            <w:r>
              <w:t>-1,975.8000</w:t>
            </w:r>
          </w:p>
        </w:tc>
      </w:tr>
    </w:tbl>
    <w:p>
      <w:pPr>
        <w:pStyle w:val="Heading1"/>
      </w:pPr>
      <w:r>
        <w:t>Equity &amp; Performance Charts</w:t>
      </w:r>
    </w:p>
    <w:p>
      <w:r>
        <w:rPr>
          <w:b/>
        </w:rPr>
        <w:t>Chart Equity Growth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Percent Gain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Chart Profit Dollars</w:t>
      </w:r>
    </w:p>
    <w:p>
      <w:r>
        <w:drawing>
          <wp:inline xmlns:a="http://schemas.openxmlformats.org/drawingml/2006/main" xmlns:pic="http://schemas.openxmlformats.org/drawingml/2006/picture">
            <wp:extent cx="5669280" cy="2777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