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Strategy Default Backtest Report</w:t>
      </w:r>
    </w:p>
    <w:p>
      <w:pPr>
        <w:jc w:val="center"/>
      </w:pPr>
      <w:r>
        <w:rPr>
          <w:b/>
          <w:sz w:val="28"/>
        </w:rPr>
        <w:t>Strategy / EA: TRB V2.0</w:t>
      </w:r>
    </w:p>
    <w:p>
      <w:pPr>
        <w:jc w:val="center"/>
      </w:pPr>
      <w:r>
        <w:t>Expert: TRB V2.0.ex5  |  Symbol: USDJPY Dukascopy  |  Timeframe: M15</w:t>
        <w:br/>
        <w:t>Backtest Period: 2013.01.01  -&gt;  2026.07.03  |  Initial Deposit: $2,500.00</w:t>
        <w:br/>
        <w:t>Generated: 2026-09-23 08:34:40 UTC</w:t>
      </w:r>
    </w:p>
    <w:p>
      <w:r>
        <w:t>This report documents the DEFAULT (un-optimised baseline) backtest for this researched strategy. It establishes baseline performance and trade mechanics directly from the EA's core MQL5 implementation prior to running genetic parameter optimization and robustness stress-tests.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Net Profit ($)</w:t>
            </w:r>
          </w:p>
        </w:tc>
        <w:tc>
          <w:tcPr>
            <w:tcW w:type="dxa" w:w="4320"/>
          </w:tcPr>
          <w:p>
            <w:r>
              <w:t>681.7700</w:t>
            </w:r>
          </w:p>
        </w:tc>
      </w:tr>
      <w:tr>
        <w:tc>
          <w:tcPr>
            <w:tcW w:type="dxa" w:w="4320"/>
          </w:tcPr>
          <w:p>
            <w:r>
              <w:t>Net Profit (%)</w:t>
            </w:r>
          </w:p>
        </w:tc>
        <w:tc>
          <w:tcPr>
            <w:tcW w:type="dxa" w:w="4320"/>
          </w:tcPr>
          <w:p>
            <w:r>
              <w:t>27.2708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1.2600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3.3500</w:t>
            </w:r>
          </w:p>
        </w:tc>
      </w:tr>
      <w:tr>
        <w:tc>
          <w:tcPr>
            <w:tcW w:type="dxa" w:w="4320"/>
          </w:tcPr>
          <w:p>
            <w:r>
              <w:t>Max Balance Drawdown (%)</w:t>
            </w:r>
          </w:p>
        </w:tc>
        <w:tc>
          <w:tcPr>
            <w:tcW w:type="dxa" w:w="4320"/>
          </w:tcPr>
          <w:p>
            <w:r>
              <w:t>8.4600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2.1600</w:t>
            </w:r>
          </w:p>
        </w:tc>
      </w:tr>
      <w:tr>
        <w:tc>
          <w:tcPr>
            <w:tcW w:type="dxa" w:w="4320"/>
          </w:tcPr>
          <w:p>
            <w:r>
              <w:t>Win Rate (%)</w:t>
            </w:r>
          </w:p>
        </w:tc>
        <w:tc>
          <w:tcPr>
            <w:tcW w:type="dxa" w:w="4320"/>
          </w:tcPr>
          <w:p>
            <w:r>
              <w:t>52.2300</w:t>
            </w:r>
          </w:p>
        </w:tc>
      </w:tr>
      <w:tr>
        <w:tc>
          <w:tcPr>
            <w:tcW w:type="dxa" w:w="4320"/>
          </w:tcPr>
          <w:p>
            <w:r>
              <w:t>Total Trades</w:t>
            </w:r>
          </w:p>
        </w:tc>
        <w:tc>
          <w:tcPr>
            <w:tcW w:type="dxa" w:w="4320"/>
          </w:tcPr>
          <w:p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Largest Profit Trade ($)</w:t>
            </w:r>
          </w:p>
        </w:tc>
        <w:tc>
          <w:tcPr>
            <w:tcW w:type="dxa" w:w="4320"/>
          </w:tcPr>
          <w:p>
            <w:r>
              <w:t>138.9900</w:t>
            </w:r>
          </w:p>
        </w:tc>
      </w:tr>
      <w:tr>
        <w:tc>
          <w:tcPr>
            <w:tcW w:type="dxa" w:w="4320"/>
          </w:tcPr>
          <w:p>
            <w:r>
              <w:t>Largest Loss Trade ($)</w:t>
            </w:r>
          </w:p>
        </w:tc>
        <w:tc>
          <w:tcPr>
            <w:tcW w:type="dxa" w:w="4320"/>
          </w:tcPr>
          <w:p>
            <w:r>
              <w:t>-108.0600</w:t>
            </w:r>
          </w:p>
        </w:tc>
      </w:tr>
    </w:tbl>
    <w:p>
      <w:pPr>
        <w:pStyle w:val="Heading1"/>
      </w:pPr>
      <w:r>
        <w:t>Equity &amp; Performance Charts</w:t>
      </w:r>
    </w:p>
    <w:p>
      <w:r>
        <w:rPr>
          <w:b/>
        </w:rPr>
        <w:t>Chart Equity Growth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Percent Gain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Profit Dollars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