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Strategy Default Backtest Report</w:t>
      </w:r>
    </w:p>
    <w:p>
      <w:pPr>
        <w:jc w:val="center"/>
      </w:pPr>
      <w:r>
        <w:rPr>
          <w:b/>
          <w:sz w:val="28"/>
        </w:rPr>
        <w:t>Strategy / EA: LRB V1.0</w:t>
      </w:r>
    </w:p>
    <w:p>
      <w:pPr>
        <w:jc w:val="center"/>
      </w:pPr>
      <w:r>
        <w:t>Expert: LRB V1.0.ex5  |  Symbol: EURUSD dukascopy  |  Timeframe: M15</w:t>
        <w:br/>
        <w:t>Backtest Period: 2013.01.01  -&gt;  2026.07.03  |  Initial Deposit: $5,000.00</w:t>
        <w:br/>
        <w:t>Generated: 2026-09-24 09:57:58 UTC</w:t>
      </w:r>
    </w:p>
    <w:p>
      <w:r>
        <w:t>This report documents the DEFAULT (un-optimised baseline) backtest for this researched strategy. It establishes baseline performance and trade mechanics directly from the EA's core MQL5 implementation prior to running genetic parameter optimization and robustness stress-tests.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Net Profit ($)</w:t>
            </w:r>
          </w:p>
        </w:tc>
        <w:tc>
          <w:tcPr>
            <w:tcW w:type="dxa" w:w="4320"/>
          </w:tcPr>
          <w:p>
            <w:r>
              <w:t>-2,786.6700</w:t>
            </w:r>
          </w:p>
        </w:tc>
      </w:tr>
      <w:tr>
        <w:tc>
          <w:tcPr>
            <w:tcW w:type="dxa" w:w="4320"/>
          </w:tcPr>
          <w:p>
            <w:r>
              <w:t>Net Profit (%)</w:t>
            </w:r>
          </w:p>
        </w:tc>
        <w:tc>
          <w:tcPr>
            <w:tcW w:type="dxa" w:w="4320"/>
          </w:tcPr>
          <w:p>
            <w:r>
              <w:t>-55.7334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0.6100</w:t>
            </w:r>
          </w:p>
        </w:tc>
      </w:tr>
      <w:tr>
        <w:tc>
          <w:tcPr>
            <w:tcW w:type="dxa" w:w="4320"/>
          </w:tcPr>
          <w:p>
            <w:r>
              <w:t>Sharpe Ratio</w:t>
            </w:r>
          </w:p>
        </w:tc>
        <w:tc>
          <w:tcPr>
            <w:tcW w:type="dxa" w:w="4320"/>
          </w:tcPr>
          <w:p>
            <w:r>
              <w:t>-5.0000</w:t>
            </w:r>
          </w:p>
        </w:tc>
      </w:tr>
      <w:tr>
        <w:tc>
          <w:tcPr>
            <w:tcW w:type="dxa" w:w="4320"/>
          </w:tcPr>
          <w:p>
            <w:r>
              <w:t>Max Balance Drawdown (%)</w:t>
            </w:r>
          </w:p>
        </w:tc>
        <w:tc>
          <w:tcPr>
            <w:tcW w:type="dxa" w:w="4320"/>
          </w:tcPr>
          <w:p>
            <w:r>
              <w:t>56.4700</w:t>
            </w:r>
          </w:p>
        </w:tc>
      </w:tr>
      <w:tr>
        <w:tc>
          <w:tcPr>
            <w:tcW w:type="dxa" w:w="4320"/>
          </w:tcPr>
          <w:p>
            <w:r>
              <w:t>Recovery Factor</w:t>
            </w:r>
          </w:p>
        </w:tc>
        <w:tc>
          <w:tcPr>
            <w:tcW w:type="dxa" w:w="4320"/>
          </w:tcPr>
          <w:p>
            <w:r>
              <w:t>-0.9600</w:t>
            </w:r>
          </w:p>
        </w:tc>
      </w:tr>
      <w:tr>
        <w:tc>
          <w:tcPr>
            <w:tcW w:type="dxa" w:w="4320"/>
          </w:tcPr>
          <w:p>
            <w:r>
              <w:t>Win Rate (%)</w:t>
            </w:r>
          </w:p>
        </w:tc>
        <w:tc>
          <w:tcPr>
            <w:tcW w:type="dxa" w:w="4320"/>
          </w:tcPr>
          <w:p>
            <w:r>
              <w:t>40.4900</w:t>
            </w:r>
          </w:p>
        </w:tc>
      </w:tr>
      <w:tr>
        <w:tc>
          <w:tcPr>
            <w:tcW w:type="dxa" w:w="4320"/>
          </w:tcPr>
          <w:p>
            <w:r>
              <w:t>Total Trades</w:t>
            </w:r>
          </w:p>
        </w:tc>
        <w:tc>
          <w:tcPr>
            <w:tcW w:type="dxa" w:w="4320"/>
          </w:tcPr>
          <w:p>
            <w:r>
              <w:t>447</w:t>
            </w:r>
          </w:p>
        </w:tc>
      </w:tr>
      <w:tr>
        <w:tc>
          <w:tcPr>
            <w:tcW w:type="dxa" w:w="4320"/>
          </w:tcPr>
          <w:p>
            <w:r>
              <w:t>Largest Profit Trade ($)</w:t>
            </w:r>
          </w:p>
        </w:tc>
        <w:tc>
          <w:tcPr>
            <w:tcW w:type="dxa" w:w="4320"/>
          </w:tcPr>
          <w:p>
            <w:r>
              <w:t>50.0000</w:t>
            </w:r>
          </w:p>
        </w:tc>
      </w:tr>
      <w:tr>
        <w:tc>
          <w:tcPr>
            <w:tcW w:type="dxa" w:w="4320"/>
          </w:tcPr>
          <w:p>
            <w:r>
              <w:t>Largest Loss Trade ($)</w:t>
            </w:r>
          </w:p>
        </w:tc>
        <w:tc>
          <w:tcPr>
            <w:tcW w:type="dxa" w:w="4320"/>
          </w:tcPr>
          <w:p>
            <w:r>
              <w:t>-50.0000</w:t>
            </w:r>
          </w:p>
        </w:tc>
      </w:tr>
    </w:tbl>
    <w:p>
      <w:pPr>
        <w:pStyle w:val="Heading1"/>
      </w:pPr>
      <w:r>
        <w:t>Equity &amp; Performance Charts</w:t>
      </w:r>
    </w:p>
    <w:p>
      <w:r>
        <w:rPr>
          <w:b/>
        </w:rPr>
        <w:t>Chart Equity Growth</w:t>
      </w:r>
    </w:p>
    <w:p>
      <w:r>
        <w:drawing>
          <wp:inline xmlns:a="http://schemas.openxmlformats.org/drawingml/2006/main" xmlns:pic="http://schemas.openxmlformats.org/drawingml/2006/picture">
            <wp:extent cx="5669280" cy="2775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quity_grow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5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Chart Percent Gain</w:t>
      </w:r>
    </w:p>
    <w:p>
      <w:r>
        <w:drawing>
          <wp:inline xmlns:a="http://schemas.openxmlformats.org/drawingml/2006/main" xmlns:pic="http://schemas.openxmlformats.org/drawingml/2006/picture">
            <wp:extent cx="5669280" cy="2777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cent_g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0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Chart Profit Dollars</w:t>
      </w:r>
    </w:p>
    <w:p>
      <w:r>
        <w:drawing>
          <wp:inline xmlns:a="http://schemas.openxmlformats.org/drawingml/2006/main" xmlns:pic="http://schemas.openxmlformats.org/drawingml/2006/picture">
            <wp:extent cx="5669280" cy="27755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fit_dolla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5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