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1F7849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23/03/2023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F7849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BASE 1, 2, AND MOPOL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2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EF7473" w:rsidRPr="003F624D" w:rsidTr="00FC34B8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EF7473" w:rsidRPr="003F624D" w:rsidTr="0080000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45A0D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,4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 BIG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4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1,4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5,8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(</w:t>
            </w:r>
            <w:r w:rsidR="00FC34B8">
              <w:rPr>
                <w:rFonts w:ascii="Maiandra GD" w:eastAsia="Times New Roman" w:hAnsi="Maiandra GD"/>
                <w:sz w:val="20"/>
                <w:lang w:eastAsia="en-GB"/>
              </w:rPr>
              <w:t>12/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24PCS)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 CARTON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19.500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19,500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RAID INSECTICIDE (BIG)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BOTTLE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3A6201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65,300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TOTAL: SIXTY FIVE THOUS</w:t>
      </w:r>
      <w:r>
        <w:rPr>
          <w:rFonts w:ascii="Maiandra GD" w:hAnsi="Maiandra GD"/>
          <w:b/>
          <w:i/>
        </w:rPr>
        <w:t>AND THREE HUNDRED NAIRA ONLY.</w:t>
      </w:r>
      <w:r>
        <w:rPr>
          <w:rFonts w:ascii="Maiandra GD" w:hAnsi="Maiandra GD"/>
          <w:b/>
          <w:i/>
        </w:rPr>
        <w:t xml:space="preserve">  </w:t>
      </w:r>
      <w:r w:rsidR="00830464">
        <w:rPr>
          <w:rFonts w:ascii="Maiandra GD" w:hAnsi="Maiandra GD"/>
          <w:b/>
          <w:i/>
        </w:rPr>
        <w:t>(N65</w:t>
      </w:r>
      <w:r>
        <w:rPr>
          <w:rFonts w:ascii="Maiandra GD" w:hAnsi="Maiandra GD"/>
          <w:b/>
          <w:i/>
        </w:rPr>
        <w:t>, 300).</w:t>
      </w:r>
      <w:bookmarkStart w:id="0" w:name="_GoBack"/>
      <w:bookmarkEnd w:id="0"/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83046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7663C"/>
    <w:rsid w:val="00537AB0"/>
    <w:rsid w:val="00545A0D"/>
    <w:rsid w:val="00597DB5"/>
    <w:rsid w:val="007E6D18"/>
    <w:rsid w:val="00830464"/>
    <w:rsid w:val="00B56E25"/>
    <w:rsid w:val="00CE2D66"/>
    <w:rsid w:val="00CF0906"/>
    <w:rsid w:val="00DF5A14"/>
    <w:rsid w:val="00EF7473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9</cp:revision>
  <dcterms:created xsi:type="dcterms:W3CDTF">2023-02-01T10:28:00Z</dcterms:created>
  <dcterms:modified xsi:type="dcterms:W3CDTF">2023-03-23T09:43:00Z</dcterms:modified>
</cp:coreProperties>
</file>