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Rapport de test du nouveau Laser et test couplé Laser-Fibre-Photodiode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Suivi de modifications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Modifications / Ajouts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Quentin Durousseau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du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unitaire du laser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Laser incluant une petite carte d’alimentation (soudée au laser, dans la gaine thermo)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Alimentation DC entre 3V et 5V (+ sur le fil rouge, - sur le fil noir)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Résultat </w:t>
      </w:r>
      <w:r w:rsidDel="00000000" w:rsidR="00000000" w:rsidRPr="00000000">
        <w:rPr>
          <w:rtl w:val="0"/>
        </w:rPr>
        <w:t xml:space="preserve">: on observe bien que le courant dans le laser est régulé à 30mA (comme indiqué par la DS) pour une tension entre 3V et 5V.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Montage transimpédance pour la photodiode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4788" cy="36013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0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5025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Case floating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couplé Laser-Fibre-Photodiode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Montage optique : à l’aide de deux adaptateurs FC/PC-FC/PC (bouchons rouges), brancher le laser d’un côté de la fibre et la photodiode de l’autre (photodiode à mettre dans son petit boîtier).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Observer avec un voltmètre la tension de sortie du montage transimpédance (mV).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Augmenter progressivement la tension d’alimentation de la diode laser sans dépasser 5V.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