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78D9E" w14:textId="77777777" w:rsidR="00315E0A" w:rsidRDefault="00000000">
      <w:pPr>
        <w:pStyle w:val="Ttulo1"/>
        <w:pBdr>
          <w:bottom w:val="single" w:sz="6" w:space="4" w:color="2E75B6"/>
        </w:pBdr>
      </w:pPr>
      <w:r>
        <w:t>2. Estado del Arte</w:t>
      </w:r>
    </w:p>
    <w:p w14:paraId="1300CE2D" w14:textId="77777777" w:rsidR="00315E0A" w:rsidRDefault="00000000">
      <w:pPr>
        <w:spacing w:before="80" w:after="120" w:line="330" w:lineRule="auto"/>
        <w:jc w:val="both"/>
      </w:pPr>
      <w:r>
        <w:t>El presente capítulo recoge el conjunto de tecnologías, herramientas y trabajos previos sobre los que se fundamenta este Trabajo de Fin de Grado. Se parte de una visión general del Procesamiento del Lenguaje Natural como disciplina, para después profundizar en las áreas específicas de análisis de sentimiento y análisis de emociones, las bases de datos utilizadas, los lenguajes y librerías empleados, los Modelos de Lenguaje de Gran Tamaño (</w:t>
      </w:r>
      <w:proofErr w:type="spellStart"/>
      <w:r>
        <w:t>LLMs</w:t>
      </w:r>
      <w:proofErr w:type="spellEnd"/>
      <w:r>
        <w:t xml:space="preserve">) seleccionados y, finalmente, las técnicas de </w:t>
      </w:r>
      <w:proofErr w:type="spellStart"/>
      <w:r>
        <w:t>Prompt</w:t>
      </w:r>
      <w:proofErr w:type="spellEnd"/>
      <w:r>
        <w:t xml:space="preserve"> </w:t>
      </w:r>
      <w:proofErr w:type="spellStart"/>
      <w:r>
        <w:t>Engineering</w:t>
      </w:r>
      <w:proofErr w:type="spellEnd"/>
      <w:r>
        <w:t xml:space="preserve"> aplicadas para maximizar el rendimiento en la clasificación emocional.</w:t>
      </w:r>
    </w:p>
    <w:p w14:paraId="20F25DDB" w14:textId="77777777" w:rsidR="00315E0A" w:rsidRDefault="00315E0A">
      <w:pPr>
        <w:spacing w:before="60" w:after="60"/>
      </w:pPr>
    </w:p>
    <w:p w14:paraId="0D07554E" w14:textId="77777777" w:rsidR="00315E0A" w:rsidRDefault="00000000">
      <w:pPr>
        <w:pStyle w:val="Ttulo2"/>
      </w:pPr>
      <w:r>
        <w:t>2.1 Procesamiento del Lenguaje Natural (NLP)</w:t>
      </w:r>
    </w:p>
    <w:p w14:paraId="6D605465" w14:textId="77777777" w:rsidR="00315E0A" w:rsidRDefault="00000000">
      <w:pPr>
        <w:pStyle w:val="Ttulo3"/>
      </w:pPr>
      <w:r>
        <w:t>2.1.1 Definición y fundamentos</w:t>
      </w:r>
    </w:p>
    <w:p w14:paraId="23929656" w14:textId="77777777" w:rsidR="00315E0A" w:rsidRDefault="00000000">
      <w:pPr>
        <w:spacing w:before="80" w:after="120" w:line="330" w:lineRule="auto"/>
        <w:jc w:val="both"/>
      </w:pPr>
      <w:r>
        <w:t xml:space="preserve">El Procesamiento del Lenguaje Natural (en inglés, Natural </w:t>
      </w:r>
      <w:proofErr w:type="spellStart"/>
      <w:r>
        <w:t>Language</w:t>
      </w:r>
      <w:proofErr w:type="spellEnd"/>
      <w:r>
        <w:t xml:space="preserve"> Processing o NLP) es una rama de la Inteligencia Artificial que tiene como objetivo dotar a las máquinas de la capacidad de comprender, interpretar y generar lenguaje humano de forma automática. Su naturaleza es intrínsecamente interdisciplinar: se apoya en la lingüística computacional, la estadística, el aprendizaje automático y, más recientemente, el aprendizaje profundo. A lo largo de las últimas décadas, el NLP ha pasado de sistemas basados en reglas lingüísticas rígidas a modelos neuronales capaces de capturar matices semánticos y pragmáticos del lenguaje de manera sorprendentemente precisa.</w:t>
      </w:r>
    </w:p>
    <w:p w14:paraId="499E2D98" w14:textId="77777777" w:rsidR="00315E0A" w:rsidRDefault="00000000">
      <w:pPr>
        <w:spacing w:before="80" w:after="120" w:line="330" w:lineRule="auto"/>
        <w:jc w:val="both"/>
      </w:pPr>
      <w:r>
        <w:t xml:space="preserve">Los fundamentos del NLP se articulan en torno a varios niveles de análisis lingüístico. En primer lugar, la </w:t>
      </w:r>
      <w:r>
        <w:rPr>
          <w:b/>
          <w:bCs/>
        </w:rPr>
        <w:t xml:space="preserve">morfología y </w:t>
      </w:r>
      <w:proofErr w:type="spellStart"/>
      <w:r>
        <w:rPr>
          <w:b/>
          <w:bCs/>
        </w:rPr>
        <w:t>tokenización</w:t>
      </w:r>
      <w:proofErr w:type="spellEnd"/>
      <w:r>
        <w:t xml:space="preserve"> descomponen el texto en unidades mínimas significativas (tokens, </w:t>
      </w:r>
      <w:proofErr w:type="spellStart"/>
      <w:r>
        <w:t>subpalabras</w:t>
      </w:r>
      <w:proofErr w:type="spellEnd"/>
      <w:r>
        <w:t xml:space="preserve">, morfemas). Sobre este nivel se construye el </w:t>
      </w:r>
      <w:r>
        <w:rPr>
          <w:b/>
          <w:bCs/>
        </w:rPr>
        <w:t>análisis sintáctico</w:t>
      </w:r>
      <w:r>
        <w:t>, que estudia la estructura gramatical de las oraciones mediante técnicas como el etiquetado POS (Part-</w:t>
      </w:r>
      <w:proofErr w:type="spellStart"/>
      <w:r>
        <w:t>of</w:t>
      </w:r>
      <w:proofErr w:type="spellEnd"/>
      <w:r>
        <w:t xml:space="preserve">-Speech), el análisis de dependencias y la construcción de árboles sintácticos. Más allá de la gramática, el </w:t>
      </w:r>
      <w:r>
        <w:rPr>
          <w:b/>
          <w:bCs/>
        </w:rPr>
        <w:t>análisis semántico</w:t>
      </w:r>
      <w:r>
        <w:t xml:space="preserve"> extrae el significado de las palabras y frases en contexto, abordando problemas como la desambiguación del sentido de las palabras o el reconocimiento de entidades nombradas (NER). Finalmente, la </w:t>
      </w:r>
      <w:r>
        <w:rPr>
          <w:b/>
          <w:bCs/>
        </w:rPr>
        <w:t>pragmática y el análisis del discurso</w:t>
      </w:r>
      <w:r>
        <w:t xml:space="preserve"> se encargan de interpretar el lenguaje en su contexto comunicativo más amplio.</w:t>
      </w:r>
    </w:p>
    <w:p w14:paraId="5447FD94" w14:textId="77777777" w:rsidR="00315E0A" w:rsidRDefault="00000000">
      <w:pPr>
        <w:spacing w:before="80" w:after="120" w:line="330" w:lineRule="auto"/>
        <w:jc w:val="both"/>
      </w:pPr>
      <w:r>
        <w:t xml:space="preserve">La irrupción de los modelos de lenguaje </w:t>
      </w:r>
      <w:proofErr w:type="spellStart"/>
      <w:r>
        <w:t>preentrenados</w:t>
      </w:r>
      <w:proofErr w:type="spellEnd"/>
      <w:r>
        <w:t xml:space="preserve"> basados en la arquitectura </w:t>
      </w:r>
      <w:proofErr w:type="spellStart"/>
      <w:r>
        <w:t>Transformer</w:t>
      </w:r>
      <w:proofErr w:type="spellEnd"/>
      <w:r>
        <w:t xml:space="preserve">, introducida por Vaswani et al. en 2017, supuso un punto de inflexión en el campo. Modelos como BERT, GPT o </w:t>
      </w:r>
      <w:proofErr w:type="spellStart"/>
      <w:r>
        <w:t>RoBERTa</w:t>
      </w:r>
      <w:proofErr w:type="spellEnd"/>
      <w:r>
        <w:t xml:space="preserve"> demostraron que el preentrenamiento en grandes corpus de texto no etiquetado, seguido de un ajuste fino (fine-</w:t>
      </w:r>
      <w:proofErr w:type="spellStart"/>
      <w:r>
        <w:t>tuning</w:t>
      </w:r>
      <w:proofErr w:type="spellEnd"/>
      <w:r>
        <w:t xml:space="preserve">) en tareas específicas, podía alcanzar resultados estado del arte en casi todas las tareas canónicas del NLP. Una revisión exhaustiva de estos avances puede consultarse en el </w:t>
      </w:r>
      <w:proofErr w:type="spellStart"/>
      <w:r>
        <w:t>survey</w:t>
      </w:r>
      <w:proofErr w:type="spellEnd"/>
      <w:r>
        <w:t xml:space="preserve"> de Min et al. (2021) (</w:t>
      </w:r>
      <w:hyperlink r:id="rId5" w:history="1">
        <w:r>
          <w:rPr>
            <w:color w:val="2E75B6"/>
            <w:u w:val="single"/>
          </w:rPr>
          <w:t>Min et al., 2021 — arXiv:2111.01243</w:t>
        </w:r>
      </w:hyperlink>
      <w:r>
        <w:t xml:space="preserve">), que documenta la transición de los enfoques </w:t>
      </w:r>
      <w:r>
        <w:lastRenderedPageBreak/>
        <w:t>clásicos hacia los modelos de lenguaje de gran escala. El impacto de estos modelos sobre el conjunto de tareas NLP es también analizado en profundidad en Treviso et al. (2022) (</w:t>
      </w:r>
      <w:hyperlink r:id="rId6" w:history="1">
        <w:r>
          <w:rPr>
            <w:color w:val="2E75B6"/>
            <w:u w:val="single"/>
          </w:rPr>
          <w:t>Treviso et al., 2022 — arXiv:2209.00099</w:t>
        </w:r>
      </w:hyperlink>
      <w:r>
        <w:t>).</w:t>
      </w:r>
    </w:p>
    <w:p w14:paraId="68D7FD0A" w14:textId="77777777" w:rsidR="00315E0A" w:rsidRDefault="00000000">
      <w:pPr>
        <w:spacing w:before="80" w:after="120" w:line="330" w:lineRule="auto"/>
        <w:jc w:val="both"/>
      </w:pPr>
      <w:r>
        <w:t xml:space="preserve">En el contexto específico de este trabajo, el NLP actúa como marco técnico que habilita tanto el análisis de sentimiento como la clasificación de emociones sobre texto. Las técnicas aplicadas — desde la </w:t>
      </w:r>
      <w:proofErr w:type="spellStart"/>
      <w:r>
        <w:t>tokenización</w:t>
      </w:r>
      <w:proofErr w:type="spellEnd"/>
      <w:r>
        <w:t xml:space="preserve"> de los mensajes hasta la inferencia mediante </w:t>
      </w:r>
      <w:proofErr w:type="spellStart"/>
      <w:r>
        <w:t>LLMs</w:t>
      </w:r>
      <w:proofErr w:type="spellEnd"/>
      <w:r>
        <w:t xml:space="preserve"> — son todas expresiones de distintos niveles de este campo. La revisión más reciente sobre la convergencia entre </w:t>
      </w:r>
      <w:proofErr w:type="spellStart"/>
      <w:r>
        <w:t>LLMs</w:t>
      </w:r>
      <w:proofErr w:type="spellEnd"/>
      <w:r>
        <w:t xml:space="preserve"> y las tareas clásicas de NLP puede encontrarse en Li et al. (2025) (</w:t>
      </w:r>
      <w:hyperlink r:id="rId7" w:history="1">
        <w:r>
          <w:rPr>
            <w:color w:val="2E75B6"/>
            <w:u w:val="single"/>
          </w:rPr>
          <w:t xml:space="preserve">Li et al., 2025 — </w:t>
        </w:r>
        <w:proofErr w:type="spellStart"/>
        <w:r>
          <w:rPr>
            <w:color w:val="2E75B6"/>
            <w:u w:val="single"/>
          </w:rPr>
          <w:t>Frontiers</w:t>
        </w:r>
        <w:proofErr w:type="spellEnd"/>
        <w:r>
          <w:rPr>
            <w:color w:val="2E75B6"/>
            <w:u w:val="single"/>
          </w:rPr>
          <w:t xml:space="preserve"> </w:t>
        </w:r>
        <w:proofErr w:type="spellStart"/>
        <w:r>
          <w:rPr>
            <w:color w:val="2E75B6"/>
            <w:u w:val="single"/>
          </w:rPr>
          <w:t>of</w:t>
        </w:r>
        <w:proofErr w:type="spellEnd"/>
        <w:r>
          <w:rPr>
            <w:color w:val="2E75B6"/>
            <w:u w:val="single"/>
          </w:rPr>
          <w:t xml:space="preserve"> </w:t>
        </w:r>
        <w:proofErr w:type="spellStart"/>
        <w:r>
          <w:rPr>
            <w:color w:val="2E75B6"/>
            <w:u w:val="single"/>
          </w:rPr>
          <w:t>Computer</w:t>
        </w:r>
        <w:proofErr w:type="spellEnd"/>
        <w:r>
          <w:rPr>
            <w:color w:val="2E75B6"/>
            <w:u w:val="single"/>
          </w:rPr>
          <w:t xml:space="preserve"> </w:t>
        </w:r>
        <w:proofErr w:type="spellStart"/>
        <w:r>
          <w:rPr>
            <w:color w:val="2E75B6"/>
            <w:u w:val="single"/>
          </w:rPr>
          <w:t>Science</w:t>
        </w:r>
        <w:proofErr w:type="spellEnd"/>
      </w:hyperlink>
      <w:r>
        <w:t>).</w:t>
      </w:r>
    </w:p>
    <w:p w14:paraId="41136683" w14:textId="77777777" w:rsidR="00315E0A" w:rsidRDefault="00315E0A">
      <w:pPr>
        <w:spacing w:before="60" w:after="60"/>
      </w:pPr>
    </w:p>
    <w:p w14:paraId="20508F6D" w14:textId="77777777" w:rsidR="00315E0A" w:rsidRDefault="00000000">
      <w:pPr>
        <w:pStyle w:val="Ttulo3"/>
      </w:pPr>
      <w:r>
        <w:t>2.1.2 Objetivos y pilares fundamentales del NLP</w:t>
      </w:r>
    </w:p>
    <w:p w14:paraId="4D9B0849" w14:textId="77777777" w:rsidR="00315E0A" w:rsidRDefault="00000000">
      <w:pPr>
        <w:spacing w:before="80" w:after="120" w:line="330" w:lineRule="auto"/>
        <w:jc w:val="both"/>
      </w:pPr>
      <w:r>
        <w:t xml:space="preserve">Los objetivos del NLP pueden clasificarse en dos grandes categorías: la </w:t>
      </w:r>
      <w:r>
        <w:rPr>
          <w:b/>
          <w:bCs/>
        </w:rPr>
        <w:t>comprensión del lenguaje natural</w:t>
      </w:r>
      <w:r>
        <w:t xml:space="preserve"> (NLU, Natural </w:t>
      </w:r>
      <w:proofErr w:type="spellStart"/>
      <w:r>
        <w:t>Language</w:t>
      </w:r>
      <w:proofErr w:type="spellEnd"/>
      <w:r>
        <w:t xml:space="preserve"> </w:t>
      </w:r>
      <w:proofErr w:type="spellStart"/>
      <w:r>
        <w:t>Understanding</w:t>
      </w:r>
      <w:proofErr w:type="spellEnd"/>
      <w:r>
        <w:t xml:space="preserve">), orientada a la interpretación del significado del texto, y la </w:t>
      </w:r>
      <w:r>
        <w:rPr>
          <w:b/>
          <w:bCs/>
        </w:rPr>
        <w:t>generación del lenguaje natural</w:t>
      </w:r>
      <w:r>
        <w:t xml:space="preserve"> (NLG, Natural </w:t>
      </w:r>
      <w:proofErr w:type="spellStart"/>
      <w:r>
        <w:t>Language</w:t>
      </w:r>
      <w:proofErr w:type="spellEnd"/>
      <w:r>
        <w:t xml:space="preserve"> </w:t>
      </w:r>
      <w:proofErr w:type="spellStart"/>
      <w:r>
        <w:t>Generation</w:t>
      </w:r>
      <w:proofErr w:type="spellEnd"/>
      <w:r>
        <w:t xml:space="preserve">), centrada en la producción de texto coherente y contextualmente adecuado. En la práctica, muchas aplicaciones modernas combinan ambas capacidades: los </w:t>
      </w:r>
      <w:proofErr w:type="spellStart"/>
      <w:r>
        <w:t>LLMs</w:t>
      </w:r>
      <w:proofErr w:type="spellEnd"/>
      <w:r>
        <w:t xml:space="preserve"> actuales son capaces tanto de entender una pregunta como de generar una respuesta elaborada.</w:t>
      </w:r>
    </w:p>
    <w:p w14:paraId="4F99C17E" w14:textId="77777777" w:rsidR="00315E0A" w:rsidRDefault="00000000">
      <w:pPr>
        <w:spacing w:before="80" w:after="120" w:line="330" w:lineRule="auto"/>
        <w:jc w:val="both"/>
      </w:pPr>
      <w:r>
        <w:t xml:space="preserve">Entre las tareas concretas que conforman el campo del NLP, destacan por su relevancia para este trabajo la clasificación de texto (en la que se enmarca el análisis de sentimiento y emociones), el reconocimiento de entidades nombradas, la extracción de información, la respuesta a preguntas, la traducción automática y el resumen de texto. Cada una de estas tareas constituye un banco de pruebas sobre el que se evalúan y comparan los modelos. Las métricas estándar utilizadas para esta evaluación son la </w:t>
      </w:r>
      <w:r>
        <w:rPr>
          <w:i/>
          <w:iCs/>
        </w:rPr>
        <w:t>exactitud (</w:t>
      </w:r>
      <w:proofErr w:type="spellStart"/>
      <w:r>
        <w:rPr>
          <w:i/>
          <w:iCs/>
        </w:rPr>
        <w:t>accuracy</w:t>
      </w:r>
      <w:proofErr w:type="spellEnd"/>
      <w:r>
        <w:rPr>
          <w:i/>
          <w:iCs/>
        </w:rPr>
        <w:t>)</w:t>
      </w:r>
      <w:r>
        <w:t xml:space="preserve">, la </w:t>
      </w:r>
      <w:r>
        <w:rPr>
          <w:i/>
          <w:iCs/>
        </w:rPr>
        <w:t>precisión (</w:t>
      </w:r>
      <w:proofErr w:type="spellStart"/>
      <w:r>
        <w:rPr>
          <w:i/>
          <w:iCs/>
        </w:rPr>
        <w:t>precision</w:t>
      </w:r>
      <w:proofErr w:type="spellEnd"/>
      <w:r>
        <w:rPr>
          <w:i/>
          <w:iCs/>
        </w:rPr>
        <w:t>)</w:t>
      </w:r>
      <w:r>
        <w:t xml:space="preserve">, el </w:t>
      </w:r>
      <w:proofErr w:type="spellStart"/>
      <w:r>
        <w:rPr>
          <w:i/>
          <w:iCs/>
        </w:rPr>
        <w:t>recall</w:t>
      </w:r>
      <w:proofErr w:type="spellEnd"/>
      <w:r>
        <w:t xml:space="preserve"> y la </w:t>
      </w:r>
      <w:r>
        <w:rPr>
          <w:i/>
          <w:iCs/>
        </w:rPr>
        <w:t>puntuación F1</w:t>
      </w:r>
      <w:r>
        <w:t xml:space="preserve">, siendo esta última especialmente relevante cuando las clases están desequilibradas, como ocurre en los </w:t>
      </w:r>
      <w:proofErr w:type="spellStart"/>
      <w:r>
        <w:t>datasets</w:t>
      </w:r>
      <w:proofErr w:type="spellEnd"/>
      <w:r>
        <w:t xml:space="preserve"> de emociones.</w:t>
      </w:r>
    </w:p>
    <w:p w14:paraId="58A0EAF8" w14:textId="77777777" w:rsidR="00315E0A" w:rsidRDefault="00000000">
      <w:pPr>
        <w:spacing w:before="80" w:after="120" w:line="330" w:lineRule="auto"/>
        <w:jc w:val="both"/>
      </w:pPr>
      <w:r>
        <w:t xml:space="preserve">Los pilares que sostienen el NLP moderno pueden resumirse en cinco: (1) la representación vectorial del texto mediante </w:t>
      </w:r>
      <w:proofErr w:type="spellStart"/>
      <w:r>
        <w:t>embeddings</w:t>
      </w:r>
      <w:proofErr w:type="spellEnd"/>
      <w:r>
        <w:t xml:space="preserve"> densos (Word2Vec, GloVe, </w:t>
      </w:r>
      <w:proofErr w:type="spellStart"/>
      <w:r>
        <w:t>FastText</w:t>
      </w:r>
      <w:proofErr w:type="spellEnd"/>
      <w:r>
        <w:t xml:space="preserve">) o </w:t>
      </w:r>
      <w:proofErr w:type="spellStart"/>
      <w:r>
        <w:t>embeddings</w:t>
      </w:r>
      <w:proofErr w:type="spellEnd"/>
      <w:r>
        <w:t xml:space="preserve"> contextualizados (BERT, </w:t>
      </w:r>
      <w:proofErr w:type="spellStart"/>
      <w:r>
        <w:t>RoBERTa</w:t>
      </w:r>
      <w:proofErr w:type="spellEnd"/>
      <w:r>
        <w:t xml:space="preserve">); (2) las arquitecturas de aprendizaje profundo, especialmente las redes recurrentes (LSTM, GRU) y los Transformers; (3) los corpus de entrenamiento a gran escala y las técnicas de anotación; (4) el preentrenamiento y el ajuste fino sobre tareas específicas; y (5) la evaluación rigurosa mediante </w:t>
      </w:r>
      <w:proofErr w:type="spellStart"/>
      <w:r>
        <w:t>benchmarks</w:t>
      </w:r>
      <w:proofErr w:type="spellEnd"/>
      <w:r>
        <w:t xml:space="preserve"> estandarizados. La progresión desde los enfoques simbólicos hasta los actuales modelos fundacionales es trazada con detalle en el </w:t>
      </w:r>
      <w:proofErr w:type="spellStart"/>
      <w:r>
        <w:t>survey</w:t>
      </w:r>
      <w:proofErr w:type="spellEnd"/>
      <w:r>
        <w:t xml:space="preserve"> de Li et al. (2025) mencionado anteriormente.</w:t>
      </w:r>
    </w:p>
    <w:p w14:paraId="30631106" w14:textId="77777777" w:rsidR="00315E0A" w:rsidRDefault="00315E0A">
      <w:pPr>
        <w:spacing w:before="60" w:after="60"/>
      </w:pPr>
    </w:p>
    <w:p w14:paraId="6390E05B" w14:textId="77777777" w:rsidR="00315E0A" w:rsidRDefault="00000000">
      <w:pPr>
        <w:pStyle w:val="Ttulo2"/>
      </w:pPr>
      <w:r>
        <w:t>2.2 Análisis de Sentimiento</w:t>
      </w:r>
    </w:p>
    <w:p w14:paraId="47FBE058" w14:textId="77777777" w:rsidR="00315E0A" w:rsidRDefault="00000000">
      <w:pPr>
        <w:pStyle w:val="Ttulo3"/>
      </w:pPr>
      <w:r>
        <w:t>2.2.1 Definición y relación con el análisis de emociones</w:t>
      </w:r>
    </w:p>
    <w:p w14:paraId="24DA6F48" w14:textId="77777777" w:rsidR="00315E0A" w:rsidRDefault="00000000">
      <w:pPr>
        <w:spacing w:before="80" w:after="120" w:line="330" w:lineRule="auto"/>
        <w:jc w:val="both"/>
      </w:pPr>
      <w:r>
        <w:lastRenderedPageBreak/>
        <w:t xml:space="preserve">El análisis de sentimiento (también denominado </w:t>
      </w:r>
      <w:proofErr w:type="spellStart"/>
      <w:r>
        <w:t>opinion</w:t>
      </w:r>
      <w:proofErr w:type="spellEnd"/>
      <w:r>
        <w:t xml:space="preserve"> </w:t>
      </w:r>
      <w:proofErr w:type="spellStart"/>
      <w:r>
        <w:t>mining</w:t>
      </w:r>
      <w:proofErr w:type="spellEnd"/>
      <w:r>
        <w:t xml:space="preserve">) es una de las tareas de NLP con mayor aplicación práctica. Su objetivo es determinar la orientación afectiva de un texto: positiva, negativa o neutra. Esta clasificación tripartita, denominada análisis de sentimiento a nivel de polaridad, es la forma más habitual en entornos de negocio, donde interesa medir de forma agregada la percepción de los usuarios sobre un producto, servicio o evento. El campo ha evolucionado hacia modalidades más finas, como el análisis de sentimiento basado en aspectos (ABSA, </w:t>
      </w:r>
      <w:proofErr w:type="spellStart"/>
      <w:r>
        <w:t>Aspect-Based</w:t>
      </w:r>
      <w:proofErr w:type="spellEnd"/>
      <w:r>
        <w:t xml:space="preserve"> </w:t>
      </w:r>
      <w:proofErr w:type="spellStart"/>
      <w:r>
        <w:t>Sentiment</w:t>
      </w:r>
      <w:proofErr w:type="spellEnd"/>
      <w:r>
        <w:t xml:space="preserve"> </w:t>
      </w:r>
      <w:proofErr w:type="spellStart"/>
      <w:r>
        <w:t>Analysis</w:t>
      </w:r>
      <w:proofErr w:type="spellEnd"/>
      <w:r>
        <w:t>), que asocia la polaridad no al documento en su conjunto, sino a entidades u opiniones específicas dentro del mismo. Una revisión actualizada de los desafíos y avances en este campo puede consultarse en Al-Qablan et al. (2023) (</w:t>
      </w:r>
      <w:hyperlink r:id="rId8" w:history="1">
        <w:r>
          <w:rPr>
            <w:color w:val="2E75B6"/>
            <w:u w:val="single"/>
          </w:rPr>
          <w:t xml:space="preserve">Al-Qablan et al., 2023 — Neural Computing &amp; </w:t>
        </w:r>
        <w:proofErr w:type="spellStart"/>
        <w:r>
          <w:rPr>
            <w:color w:val="2E75B6"/>
            <w:u w:val="single"/>
          </w:rPr>
          <w:t>Applications</w:t>
        </w:r>
        <w:proofErr w:type="spellEnd"/>
      </w:hyperlink>
      <w:r>
        <w:t>).</w:t>
      </w:r>
    </w:p>
    <w:p w14:paraId="6AEBD26E" w14:textId="77777777" w:rsidR="00315E0A" w:rsidRDefault="00000000">
      <w:pPr>
        <w:spacing w:before="80" w:after="120" w:line="330" w:lineRule="auto"/>
        <w:jc w:val="both"/>
      </w:pPr>
      <w:r>
        <w:t>La relación entre el análisis de sentimiento y el análisis de emociones es estrecha pero asimétrica. El sentimiento captura una valoración general (positivo/negativo), mientras que las emociones son estados afectivos discretos y más ricos informativamente: alegría, tristeza, miedo, ira, sorpresa, asco, entre otros. En la práctica, existe una correlación entre ambos — las emociones positivas como la alegría suelen asociarse a polaridad positiva — pero esta relación no es biunívoca: la sorpresa puede ser positiva o negativa, y la nostalgia puede coexistir con ambas polaridades. Por ello, el análisis de emociones se considera una tarea de mayor complejidad y granularidad que el análisis de sentimiento, y es el objeto central de este trabajo. La interacción entre ambas tareas es analizada en Nandwani &amp; Verma (2021) (</w:t>
      </w:r>
      <w:hyperlink r:id="rId9" w:history="1">
        <w:r>
          <w:rPr>
            <w:color w:val="2E75B6"/>
            <w:u w:val="single"/>
          </w:rPr>
          <w:t xml:space="preserve">Nandwani &amp; Verma, 2021 — Social Network </w:t>
        </w:r>
        <w:proofErr w:type="spellStart"/>
        <w:r>
          <w:rPr>
            <w:color w:val="2E75B6"/>
            <w:u w:val="single"/>
          </w:rPr>
          <w:t>Analysis</w:t>
        </w:r>
        <w:proofErr w:type="spellEnd"/>
        <w:r>
          <w:rPr>
            <w:color w:val="2E75B6"/>
            <w:u w:val="single"/>
          </w:rPr>
          <w:t xml:space="preserve"> and </w:t>
        </w:r>
        <w:proofErr w:type="spellStart"/>
        <w:r>
          <w:rPr>
            <w:color w:val="2E75B6"/>
            <w:u w:val="single"/>
          </w:rPr>
          <w:t>Mining</w:t>
        </w:r>
        <w:proofErr w:type="spellEnd"/>
      </w:hyperlink>
      <w:r>
        <w:t>).</w:t>
      </w:r>
    </w:p>
    <w:p w14:paraId="73F4A56B" w14:textId="77777777" w:rsidR="00315E0A" w:rsidRDefault="00000000">
      <w:pPr>
        <w:spacing w:before="80" w:after="120" w:line="330" w:lineRule="auto"/>
        <w:jc w:val="both"/>
      </w:pPr>
      <w:r>
        <w:t xml:space="preserve">Desde el punto de vista metodológico, el análisis de sentimiento ha recorrido tres generaciones de enfoques. La primera, basada en léxicos y diccionarios afectivos (como </w:t>
      </w:r>
      <w:proofErr w:type="spellStart"/>
      <w:r>
        <w:t>SentiWordNet</w:t>
      </w:r>
      <w:proofErr w:type="spellEnd"/>
      <w:r>
        <w:t xml:space="preserve"> o VADER), asigna puntuaciones de polaridad a palabras individuales y agrega el resultado. La segunda generación introdujo modelos de aprendizaje automático supervisado (SVM, </w:t>
      </w:r>
      <w:proofErr w:type="spellStart"/>
      <w:r>
        <w:t>Naive</w:t>
      </w:r>
      <w:proofErr w:type="spellEnd"/>
      <w:r>
        <w:t xml:space="preserve"> Bayes, regresión logística) que aprenden representaciones del texto a partir de características estadísticas como TF-IDF. La tercera y actual generación se basa en modelos de lenguaje </w:t>
      </w:r>
      <w:proofErr w:type="spellStart"/>
      <w:r>
        <w:t>preentrenados</w:t>
      </w:r>
      <w:proofErr w:type="spellEnd"/>
      <w:r>
        <w:t xml:space="preserve"> que codifican el contexto semántico de forma profunda y generalizan notablemente mejor a dominios no vistos durante el entrenamiento.</w:t>
      </w:r>
    </w:p>
    <w:p w14:paraId="0B7AE399" w14:textId="77777777" w:rsidR="00315E0A" w:rsidRDefault="00000000">
      <w:pPr>
        <w:spacing w:before="80" w:after="120" w:line="330" w:lineRule="auto"/>
        <w:jc w:val="both"/>
      </w:pPr>
      <w:r>
        <w:t xml:space="preserve">En el contexto de este TFG, el análisis de sentimiento actúa como referencia comparativa y como marco teórico previo al análisis de emociones. Las herramientas léxicas utilizadas en trabajos previos (VADER, </w:t>
      </w:r>
      <w:proofErr w:type="spellStart"/>
      <w:r>
        <w:t>TextBlob</w:t>
      </w:r>
      <w:proofErr w:type="spellEnd"/>
      <w:r>
        <w:t xml:space="preserve">, </w:t>
      </w:r>
      <w:proofErr w:type="spellStart"/>
      <w:r>
        <w:t>NRCLex</w:t>
      </w:r>
      <w:proofErr w:type="spellEnd"/>
      <w:r>
        <w:t>) representan el estado del arte de la primera generación, y permiten establecer una línea base (</w:t>
      </w:r>
      <w:proofErr w:type="spellStart"/>
      <w:r>
        <w:t>baseline</w:t>
      </w:r>
      <w:proofErr w:type="spellEnd"/>
      <w:r>
        <w:t xml:space="preserve">) con la que comparar los resultados obtenidos mediante </w:t>
      </w:r>
      <w:proofErr w:type="spellStart"/>
      <w:r>
        <w:t>LLMs</w:t>
      </w:r>
      <w:proofErr w:type="spellEnd"/>
      <w:r>
        <w:t xml:space="preserve"> con clasificación </w:t>
      </w:r>
      <w:proofErr w:type="spellStart"/>
      <w:r>
        <w:t>zero-shot</w:t>
      </w:r>
      <w:proofErr w:type="spellEnd"/>
      <w:r>
        <w:t>.</w:t>
      </w:r>
    </w:p>
    <w:p w14:paraId="047A2373" w14:textId="77777777" w:rsidR="00315E0A" w:rsidRDefault="00315E0A">
      <w:pPr>
        <w:spacing w:before="60" w:after="60"/>
      </w:pPr>
    </w:p>
    <w:p w14:paraId="5CAEB576" w14:textId="77777777" w:rsidR="00315E0A" w:rsidRDefault="00000000">
      <w:pPr>
        <w:pStyle w:val="Ttulo3"/>
      </w:pPr>
      <w:r>
        <w:t xml:space="preserve">2.2.2 Herramientas léxicas: VADER, </w:t>
      </w:r>
      <w:proofErr w:type="spellStart"/>
      <w:r>
        <w:t>TextBlob</w:t>
      </w:r>
      <w:proofErr w:type="spellEnd"/>
      <w:r>
        <w:t xml:space="preserve"> y </w:t>
      </w:r>
      <w:proofErr w:type="spellStart"/>
      <w:r>
        <w:t>NRCLex</w:t>
      </w:r>
      <w:proofErr w:type="spellEnd"/>
    </w:p>
    <w:p w14:paraId="35746308" w14:textId="77777777" w:rsidR="00315E0A" w:rsidRDefault="00000000">
      <w:pPr>
        <w:spacing w:before="80" w:after="120" w:line="330" w:lineRule="auto"/>
        <w:jc w:val="both"/>
      </w:pPr>
      <w:r>
        <w:rPr>
          <w:b/>
          <w:bCs/>
        </w:rPr>
        <w:t xml:space="preserve">VADER </w:t>
      </w:r>
      <w:r>
        <w:t xml:space="preserve">(Valence </w:t>
      </w:r>
      <w:proofErr w:type="spellStart"/>
      <w:r>
        <w:t>Aware</w:t>
      </w:r>
      <w:proofErr w:type="spellEnd"/>
      <w:r>
        <w:t xml:space="preserve"> </w:t>
      </w:r>
      <w:proofErr w:type="spellStart"/>
      <w:r>
        <w:t>Dictionary</w:t>
      </w:r>
      <w:proofErr w:type="spellEnd"/>
      <w:r>
        <w:t xml:space="preserve"> and </w:t>
      </w:r>
      <w:proofErr w:type="spellStart"/>
      <w:r>
        <w:t>sEntiment</w:t>
      </w:r>
      <w:proofErr w:type="spellEnd"/>
      <w:r>
        <w:t xml:space="preserve"> Reasoner) es un léxico y motor de análisis de sentimiento desarrollado específicamente para textos en redes sociales por Hutto &amp; Gilbert (2014). Su principal característica es que no requiere entrenamiento previo: opera </w:t>
      </w:r>
      <w:r>
        <w:lastRenderedPageBreak/>
        <w:t xml:space="preserve">directamente sobre un diccionario de términos con polaridades predefinidas, ponderadas según el contexto mediante reglas heurísticas (mayúsculas, signos de puntuación, modificadores como "muy" o "pero"). Devuelve cuatro puntuaciones: positiva, negativa, neutra y </w:t>
      </w:r>
      <w:proofErr w:type="spellStart"/>
      <w:r>
        <w:rPr>
          <w:i/>
          <w:iCs/>
        </w:rPr>
        <w:t>compound</w:t>
      </w:r>
      <w:proofErr w:type="spellEnd"/>
      <w:r>
        <w:t xml:space="preserve"> (una puntuación normalizada entre -1 y +1 que resume la polaridad global). Múltiples estudios han validado su eficacia en textos informales: Peña-Cáceres et al. (2025) demuestran su competitividad frente a </w:t>
      </w:r>
      <w:proofErr w:type="spellStart"/>
      <w:r>
        <w:t>TextBlob</w:t>
      </w:r>
      <w:proofErr w:type="spellEnd"/>
      <w:r>
        <w:t xml:space="preserve"> en corpus de comunicación digital (</w:t>
      </w:r>
      <w:hyperlink r:id="rId10" w:history="1">
        <w:r>
          <w:rPr>
            <w:color w:val="2E75B6"/>
            <w:u w:val="single"/>
          </w:rPr>
          <w:t>Peña-Cáceres et al., 2025 — Springer ICOMTA</w:t>
        </w:r>
      </w:hyperlink>
      <w:r>
        <w:t>), y análisis comparativos en noticias financieras confirman su utilidad como herramienta de línea base (</w:t>
      </w:r>
      <w:hyperlink r:id="rId11" w:history="1">
        <w:r>
          <w:rPr>
            <w:color w:val="2E75B6"/>
            <w:u w:val="single"/>
          </w:rPr>
          <w:t xml:space="preserve">Kuo et al., 2025 — </w:t>
        </w:r>
        <w:proofErr w:type="spellStart"/>
        <w:r>
          <w:rPr>
            <w:color w:val="2E75B6"/>
            <w:u w:val="single"/>
          </w:rPr>
          <w:t>Journal</w:t>
        </w:r>
        <w:proofErr w:type="spellEnd"/>
        <w:r>
          <w:rPr>
            <w:color w:val="2E75B6"/>
            <w:u w:val="single"/>
          </w:rPr>
          <w:t xml:space="preserve"> </w:t>
        </w:r>
        <w:proofErr w:type="spellStart"/>
        <w:r>
          <w:rPr>
            <w:color w:val="2E75B6"/>
            <w:u w:val="single"/>
          </w:rPr>
          <w:t>of</w:t>
        </w:r>
        <w:proofErr w:type="spellEnd"/>
        <w:r>
          <w:rPr>
            <w:color w:val="2E75B6"/>
            <w:u w:val="single"/>
          </w:rPr>
          <w:t xml:space="preserve"> Data </w:t>
        </w:r>
        <w:proofErr w:type="spellStart"/>
        <w:r>
          <w:rPr>
            <w:color w:val="2E75B6"/>
            <w:u w:val="single"/>
          </w:rPr>
          <w:t>Science</w:t>
        </w:r>
        <w:proofErr w:type="spellEnd"/>
      </w:hyperlink>
      <w:r>
        <w:t>).</w:t>
      </w:r>
    </w:p>
    <w:p w14:paraId="4D080AB7" w14:textId="77777777" w:rsidR="00315E0A" w:rsidRDefault="00000000">
      <w:pPr>
        <w:spacing w:before="80" w:after="120" w:line="330" w:lineRule="auto"/>
        <w:jc w:val="both"/>
      </w:pPr>
      <w:proofErr w:type="spellStart"/>
      <w:r>
        <w:rPr>
          <w:b/>
          <w:bCs/>
        </w:rPr>
        <w:t>TextBlob</w:t>
      </w:r>
      <w:proofErr w:type="spellEnd"/>
      <w:r>
        <w:rPr>
          <w:b/>
          <w:bCs/>
        </w:rPr>
        <w:t xml:space="preserve"> </w:t>
      </w:r>
      <w:r>
        <w:t xml:space="preserve">es una librería Python de NLP de propósito general que incluye, entre otras funcionalidades, un módulo de análisis de sentimiento basado en el léxico de </w:t>
      </w:r>
      <w:proofErr w:type="spellStart"/>
      <w:r>
        <w:t>PatternAnalyzer</w:t>
      </w:r>
      <w:proofErr w:type="spellEnd"/>
      <w:r>
        <w:t xml:space="preserve">. A diferencia de VADER, </w:t>
      </w:r>
      <w:proofErr w:type="spellStart"/>
      <w:r>
        <w:t>TextBlob</w:t>
      </w:r>
      <w:proofErr w:type="spellEnd"/>
      <w:r>
        <w:t xml:space="preserve"> devuelve dos dimensiones: la </w:t>
      </w:r>
      <w:r>
        <w:rPr>
          <w:i/>
          <w:iCs/>
        </w:rPr>
        <w:t>polaridad</w:t>
      </w:r>
      <w:r>
        <w:t xml:space="preserve"> (entre -1 y +1) y la </w:t>
      </w:r>
      <w:r>
        <w:rPr>
          <w:i/>
          <w:iCs/>
        </w:rPr>
        <w:t>subjetividad</w:t>
      </w:r>
      <w:r>
        <w:t xml:space="preserve"> (entre 0 y 1, donde 0 es completamente objetivo). Su simplicidad de uso y su integración con otras herramientas NLP la convierten en una opción popular en estudios exploratorios. Sin embargo, su rendimiento es inferior al de VADER en textos con argot o lenguaje coloquial. La comparativa entre VADER y </w:t>
      </w:r>
      <w:proofErr w:type="spellStart"/>
      <w:r>
        <w:t>TextBlob</w:t>
      </w:r>
      <w:proofErr w:type="spellEnd"/>
      <w:r>
        <w:t xml:space="preserve"> en el contexto de análisis de opiniones de usuarios de IA generativa es tratada en </w:t>
      </w:r>
      <w:proofErr w:type="spellStart"/>
      <w:r>
        <w:t>Vu</w:t>
      </w:r>
      <w:proofErr w:type="spellEnd"/>
      <w:r>
        <w:t xml:space="preserve"> et al. (2026) (</w:t>
      </w:r>
      <w:proofErr w:type="spellStart"/>
      <w:r>
        <w:fldChar w:fldCharType="begin"/>
      </w:r>
      <w:r>
        <w:instrText>HYPERLINK "https://www.sciencedirect.com/science/article/pii/S0001691826000673"</w:instrText>
      </w:r>
      <w:r>
        <w:fldChar w:fldCharType="separate"/>
      </w:r>
      <w:r>
        <w:rPr>
          <w:color w:val="2E75B6"/>
          <w:u w:val="single"/>
        </w:rPr>
        <w:t>Vu</w:t>
      </w:r>
      <w:proofErr w:type="spellEnd"/>
      <w:r>
        <w:rPr>
          <w:color w:val="2E75B6"/>
          <w:u w:val="single"/>
        </w:rPr>
        <w:t xml:space="preserve"> et al., 2026 — </w:t>
      </w:r>
      <w:proofErr w:type="spellStart"/>
      <w:r>
        <w:rPr>
          <w:color w:val="2E75B6"/>
          <w:u w:val="single"/>
        </w:rPr>
        <w:t>ScienceDirect</w:t>
      </w:r>
      <w:proofErr w:type="spellEnd"/>
      <w:r>
        <w:fldChar w:fldCharType="end"/>
      </w:r>
      <w:r>
        <w:t>).</w:t>
      </w:r>
    </w:p>
    <w:p w14:paraId="488FDC08" w14:textId="77777777" w:rsidR="00315E0A" w:rsidRDefault="00000000">
      <w:pPr>
        <w:spacing w:before="80" w:after="120" w:line="330" w:lineRule="auto"/>
        <w:jc w:val="both"/>
      </w:pPr>
      <w:proofErr w:type="spellStart"/>
      <w:r>
        <w:rPr>
          <w:b/>
          <w:bCs/>
        </w:rPr>
        <w:t>NRCLex</w:t>
      </w:r>
      <w:proofErr w:type="spellEnd"/>
      <w:r>
        <w:rPr>
          <w:b/>
          <w:bCs/>
        </w:rPr>
        <w:t xml:space="preserve"> </w:t>
      </w:r>
      <w:r>
        <w:t>es una herramienta Python que mapea el texto al léxico NRC (</w:t>
      </w:r>
      <w:proofErr w:type="spellStart"/>
      <w:r>
        <w:t>National</w:t>
      </w:r>
      <w:proofErr w:type="spellEnd"/>
      <w:r>
        <w:t xml:space="preserve"> </w:t>
      </w:r>
      <w:proofErr w:type="spellStart"/>
      <w:r>
        <w:t>Research</w:t>
      </w:r>
      <w:proofErr w:type="spellEnd"/>
      <w:r>
        <w:t xml:space="preserve"> Council </w:t>
      </w:r>
      <w:proofErr w:type="spellStart"/>
      <w:r>
        <w:t>Emotion</w:t>
      </w:r>
      <w:proofErr w:type="spellEnd"/>
      <w:r>
        <w:t xml:space="preserve"> </w:t>
      </w:r>
      <w:proofErr w:type="spellStart"/>
      <w:r>
        <w:t>Lexicon</w:t>
      </w:r>
      <w:proofErr w:type="spellEnd"/>
      <w:r>
        <w:t xml:space="preserve">) desarrollado por Mohammad &amp; Turney (2010). A diferencia de VADER y </w:t>
      </w:r>
      <w:proofErr w:type="spellStart"/>
      <w:r>
        <w:t>TextBlob</w:t>
      </w:r>
      <w:proofErr w:type="spellEnd"/>
      <w:r>
        <w:t xml:space="preserve">, </w:t>
      </w:r>
      <w:proofErr w:type="spellStart"/>
      <w:r>
        <w:t>NRCLex</w:t>
      </w:r>
      <w:proofErr w:type="spellEnd"/>
      <w:r>
        <w:t xml:space="preserve"> no se limita a la polaridad: categoriza las palabras según ocho emociones básicas (ira, anticipación, asco, miedo, alegría, tristeza, sorpresa y confianza) derivadas del modelo de </w:t>
      </w:r>
      <w:proofErr w:type="spellStart"/>
      <w:r>
        <w:t>Plutchik</w:t>
      </w:r>
      <w:proofErr w:type="spellEnd"/>
      <w:r>
        <w:t>, además de las polaridades positiva y negativa. Esta capacidad la convierte en una herramienta de transición entre el análisis de sentimiento puro y el análisis de emociones, y justifica su inclusión como referencia en este trabajo. Su mayor limitación reside en el enfoque bag-</w:t>
      </w:r>
      <w:proofErr w:type="spellStart"/>
      <w:r>
        <w:t>of</w:t>
      </w:r>
      <w:proofErr w:type="spellEnd"/>
      <w:r>
        <w:t>-</w:t>
      </w:r>
      <w:proofErr w:type="spellStart"/>
      <w:r>
        <w:t>words</w:t>
      </w:r>
      <w:proofErr w:type="spellEnd"/>
      <w:r>
        <w:t>: ignora el orden de las palabras y el contexto, lo que puede producir errores en frases con negaciones o ironía.</w:t>
      </w:r>
    </w:p>
    <w:p w14:paraId="51F8F8AB" w14:textId="77777777" w:rsidR="00315E0A" w:rsidRDefault="00000000">
      <w:pPr>
        <w:spacing w:before="80" w:after="120" w:line="330" w:lineRule="auto"/>
        <w:jc w:val="both"/>
      </w:pPr>
      <w:r>
        <w:t xml:space="preserve">Los tres enfoques léxicos comparten una característica fundamental: son métodos no supervisados, es decir, no requieren datos etiquetados para funcionar. Esto los hace especialmente valiosos como herramientas de referencia rápida en proyectos sin datos de entrenamiento disponibles. Sin embargo, su dependencia de diccionarios estáticos limita su capacidad de generalización, especialmente en dominios muy específicos o frente a neologismos y expresiones idiomáticas. Esta limitación motivó la exploración de enfoques basados en </w:t>
      </w:r>
      <w:proofErr w:type="spellStart"/>
      <w:r>
        <w:t>transformers</w:t>
      </w:r>
      <w:proofErr w:type="spellEnd"/>
      <w:r>
        <w:t xml:space="preserve"> y </w:t>
      </w:r>
      <w:proofErr w:type="spellStart"/>
      <w:r>
        <w:t>LLMs</w:t>
      </w:r>
      <w:proofErr w:type="spellEnd"/>
      <w:r>
        <w:t xml:space="preserve"> para la tarea de clasificación emocional que constituye el núcleo de este TFG.</w:t>
      </w:r>
    </w:p>
    <w:p w14:paraId="5768A930" w14:textId="77777777" w:rsidR="00315E0A" w:rsidRDefault="00000000">
      <w:pPr>
        <w:shd w:val="clear" w:color="auto" w:fill="EEF4FB"/>
        <w:spacing w:before="60" w:after="80" w:line="300" w:lineRule="auto"/>
        <w:ind w:left="480" w:right="480"/>
        <w:jc w:val="both"/>
      </w:pPr>
      <w:r>
        <w:rPr>
          <w:i/>
          <w:iCs/>
          <w:color w:val="666666"/>
          <w:sz w:val="20"/>
          <w:szCs w:val="20"/>
        </w:rPr>
        <w:t>📝 NOTA PARA REVISIÓN: Puedes añadir aquí referencias a trabajos previos de tu grupo o de la asignatura que hayan utilizado estas herramientas.</w:t>
      </w:r>
    </w:p>
    <w:p w14:paraId="652F73F2" w14:textId="77777777" w:rsidR="00315E0A" w:rsidRDefault="00315E0A">
      <w:pPr>
        <w:spacing w:before="60" w:after="60"/>
      </w:pPr>
    </w:p>
    <w:p w14:paraId="687FFF20" w14:textId="77777777" w:rsidR="00315E0A" w:rsidRDefault="00000000">
      <w:pPr>
        <w:pStyle w:val="Ttulo2"/>
      </w:pPr>
      <w:r>
        <w:lastRenderedPageBreak/>
        <w:t>2.3 Análisis de Emociones</w:t>
      </w:r>
    </w:p>
    <w:p w14:paraId="116B6444" w14:textId="77777777" w:rsidR="00315E0A" w:rsidRDefault="00000000">
      <w:pPr>
        <w:pStyle w:val="Ttulo3"/>
      </w:pPr>
      <w:r>
        <w:t>2.3.1 Definición y taxonomías emocionales</w:t>
      </w:r>
    </w:p>
    <w:p w14:paraId="5FF23EEC" w14:textId="77777777" w:rsidR="00315E0A" w:rsidRDefault="00000000">
      <w:pPr>
        <w:spacing w:before="80" w:after="120" w:line="330" w:lineRule="auto"/>
        <w:jc w:val="both"/>
      </w:pPr>
      <w:r>
        <w:t>El análisis de emociones en texto (también denominado Text-</w:t>
      </w:r>
      <w:proofErr w:type="spellStart"/>
      <w:r>
        <w:t>Based</w:t>
      </w:r>
      <w:proofErr w:type="spellEnd"/>
      <w:r>
        <w:t xml:space="preserve"> </w:t>
      </w:r>
      <w:proofErr w:type="spellStart"/>
      <w:r>
        <w:t>Emotion</w:t>
      </w:r>
      <w:proofErr w:type="spellEnd"/>
      <w:r>
        <w:t xml:space="preserve"> </w:t>
      </w:r>
      <w:proofErr w:type="spellStart"/>
      <w:r>
        <w:t>Detection</w:t>
      </w:r>
      <w:proofErr w:type="spellEnd"/>
      <w:r>
        <w:t>, TBED) es una tarea de NLP que va más allá de la polaridad del sentimiento para identificar categorías afectivas discretas expresadas en el lenguaje escrito. Como señala Acheampong et al. (2020), el TBED es un campo interdisciplinar que integra la psicología cognitiva, las ciencias sociales, la lingüística computacional y el aprendizaje automático. Entre sus aplicaciones destacan la monitorización de la salud mental, los sistemas de diálogo empáticos, el análisis de opiniones en redes sociales y la inteligencia de negocio (</w:t>
      </w:r>
      <w:hyperlink r:id="rId12" w:history="1">
        <w:r>
          <w:rPr>
            <w:color w:val="2E75B6"/>
            <w:u w:val="single"/>
          </w:rPr>
          <w:t>Acheampong et al., 2020 — citado en arXiv:2212.09465</w:t>
        </w:r>
      </w:hyperlink>
      <w:r>
        <w:t>).</w:t>
      </w:r>
    </w:p>
    <w:p w14:paraId="6B64C2BE" w14:textId="77777777" w:rsidR="00315E0A" w:rsidRDefault="00000000">
      <w:pPr>
        <w:spacing w:before="80" w:after="120" w:line="330" w:lineRule="auto"/>
        <w:jc w:val="both"/>
      </w:pPr>
      <w:r>
        <w:t xml:space="preserve">La taxonomía emocional es una decisión fundamental en cualquier sistema de análisis de emociones, ya que determina el espacio de clasificación. Las dos aproximaciones más extendidas en NLP son el modelo de emociones básicas de Ekman (seis emociones universales: alegría, tristeza, ira, miedo, asco y sorpresa) y la rueda de emociones de </w:t>
      </w:r>
      <w:proofErr w:type="spellStart"/>
      <w:r>
        <w:t>Plutchik</w:t>
      </w:r>
      <w:proofErr w:type="spellEnd"/>
      <w:r>
        <w:t xml:space="preserve"> (ocho emociones primarias organizadas en pares opuestos: alegría-tristeza, ira-miedo, confianza-desconfianza, anticipación-sorpresa). Modelos más recientes, como </w:t>
      </w:r>
      <w:proofErr w:type="spellStart"/>
      <w:r>
        <w:t>GoEmotions</w:t>
      </w:r>
      <w:proofErr w:type="spellEnd"/>
      <w:r>
        <w:t xml:space="preserve">, amplían considerablemente este espacio hasta 27 categorías emocionales discretas más una clase neutra. La elección de la taxonomía tiene implicaciones directas sobre la dificultad de la tarea: a mayor número de categorías, mayor riesgo de solapamiento entre clases y mayor desequilibrio del </w:t>
      </w:r>
      <w:proofErr w:type="spellStart"/>
      <w:r>
        <w:t>dataset</w:t>
      </w:r>
      <w:proofErr w:type="spellEnd"/>
      <w:r>
        <w:t>.</w:t>
      </w:r>
    </w:p>
    <w:p w14:paraId="138FD927" w14:textId="77777777" w:rsidR="00315E0A" w:rsidRDefault="00000000">
      <w:pPr>
        <w:spacing w:before="80" w:after="120" w:line="330" w:lineRule="auto"/>
        <w:jc w:val="both"/>
      </w:pPr>
      <w:r>
        <w:t xml:space="preserve">En este trabajo se adopta una taxonomía de siete emociones derivada del </w:t>
      </w:r>
      <w:proofErr w:type="spellStart"/>
      <w:r>
        <w:t>dataset</w:t>
      </w:r>
      <w:proofErr w:type="spellEnd"/>
      <w:r>
        <w:t xml:space="preserve"> ISEAR (International </w:t>
      </w:r>
      <w:proofErr w:type="spellStart"/>
      <w:r>
        <w:t>Survey</w:t>
      </w:r>
      <w:proofErr w:type="spellEnd"/>
      <w:r>
        <w:t xml:space="preserve"> </w:t>
      </w:r>
      <w:proofErr w:type="spellStart"/>
      <w:r>
        <w:t>on</w:t>
      </w:r>
      <w:proofErr w:type="spellEnd"/>
      <w:r>
        <w:t xml:space="preserve"> </w:t>
      </w:r>
      <w:proofErr w:type="spellStart"/>
      <w:r>
        <w:t>Emotion</w:t>
      </w:r>
      <w:proofErr w:type="spellEnd"/>
      <w:r>
        <w:t xml:space="preserve"> </w:t>
      </w:r>
      <w:proofErr w:type="spellStart"/>
      <w:r>
        <w:t>Antecedents</w:t>
      </w:r>
      <w:proofErr w:type="spellEnd"/>
      <w:r>
        <w:t xml:space="preserve"> and </w:t>
      </w:r>
      <w:proofErr w:type="spellStart"/>
      <w:r>
        <w:t>Reactions</w:t>
      </w:r>
      <w:proofErr w:type="spellEnd"/>
      <w:r>
        <w:t>): alegría (</w:t>
      </w:r>
      <w:proofErr w:type="spellStart"/>
      <w:r>
        <w:rPr>
          <w:i/>
          <w:iCs/>
        </w:rPr>
        <w:t>joy</w:t>
      </w:r>
      <w:proofErr w:type="spellEnd"/>
      <w:r>
        <w:t>), tristeza (</w:t>
      </w:r>
      <w:proofErr w:type="spellStart"/>
      <w:r>
        <w:rPr>
          <w:i/>
          <w:iCs/>
        </w:rPr>
        <w:t>sadness</w:t>
      </w:r>
      <w:proofErr w:type="spellEnd"/>
      <w:r>
        <w:t>), ira (</w:t>
      </w:r>
      <w:proofErr w:type="spellStart"/>
      <w:r>
        <w:rPr>
          <w:i/>
          <w:iCs/>
        </w:rPr>
        <w:t>anger</w:t>
      </w:r>
      <w:proofErr w:type="spellEnd"/>
      <w:r>
        <w:t>), miedo (</w:t>
      </w:r>
      <w:proofErr w:type="spellStart"/>
      <w:r>
        <w:rPr>
          <w:i/>
          <w:iCs/>
        </w:rPr>
        <w:t>fear</w:t>
      </w:r>
      <w:proofErr w:type="spellEnd"/>
      <w:r>
        <w:t>), asco (</w:t>
      </w:r>
      <w:proofErr w:type="spellStart"/>
      <w:r>
        <w:rPr>
          <w:i/>
          <w:iCs/>
        </w:rPr>
        <w:t>disgust</w:t>
      </w:r>
      <w:proofErr w:type="spellEnd"/>
      <w:r>
        <w:t>), vergüenza (</w:t>
      </w:r>
      <w:proofErr w:type="spellStart"/>
      <w:r>
        <w:rPr>
          <w:i/>
          <w:iCs/>
        </w:rPr>
        <w:t>shame</w:t>
      </w:r>
      <w:proofErr w:type="spellEnd"/>
      <w:r>
        <w:t>) y culpa (</w:t>
      </w:r>
      <w:proofErr w:type="spellStart"/>
      <w:r>
        <w:rPr>
          <w:i/>
          <w:iCs/>
        </w:rPr>
        <w:t>guilt</w:t>
      </w:r>
      <w:proofErr w:type="spellEnd"/>
      <w:r>
        <w:t xml:space="preserve">). Este </w:t>
      </w:r>
      <w:proofErr w:type="spellStart"/>
      <w:r>
        <w:t>dataset</w:t>
      </w:r>
      <w:proofErr w:type="spellEnd"/>
      <w:r>
        <w:t xml:space="preserve">, construido a partir de encuestas sobre situaciones emocionales en diferentes culturas, ha sido utilizado como </w:t>
      </w:r>
      <w:proofErr w:type="spellStart"/>
      <w:r>
        <w:t>benchmark</w:t>
      </w:r>
      <w:proofErr w:type="spellEnd"/>
      <w:r>
        <w:t xml:space="preserve"> en numerosos estudios comparativos de modelos de clasificación emocional, entre ellos el de </w:t>
      </w:r>
      <w:proofErr w:type="spellStart"/>
      <w:r>
        <w:t>Balahur</w:t>
      </w:r>
      <w:proofErr w:type="spellEnd"/>
      <w:r>
        <w:t xml:space="preserve"> et al. y el análisis con </w:t>
      </w:r>
      <w:proofErr w:type="spellStart"/>
      <w:r>
        <w:t>transformers</w:t>
      </w:r>
      <w:proofErr w:type="spellEnd"/>
      <w:r>
        <w:t xml:space="preserve"> realizado por Tabak &amp; Sorić (2021) (</w:t>
      </w:r>
      <w:hyperlink r:id="rId13" w:history="1">
        <w:r>
          <w:rPr>
            <w:color w:val="2E75B6"/>
            <w:u w:val="single"/>
          </w:rPr>
          <w:t>Tabak &amp; Sorić, 2021 — arXiv:2104.02041</w:t>
        </w:r>
      </w:hyperlink>
      <w:r>
        <w:t>).</w:t>
      </w:r>
    </w:p>
    <w:p w14:paraId="108A76D3" w14:textId="77777777" w:rsidR="00315E0A" w:rsidRDefault="00000000">
      <w:pPr>
        <w:spacing w:before="80" w:after="120" w:line="330" w:lineRule="auto"/>
        <w:jc w:val="both"/>
      </w:pPr>
      <w:r>
        <w:t xml:space="preserve">La motivación principal de este trabajo es explorar en qué medida los </w:t>
      </w:r>
      <w:proofErr w:type="spellStart"/>
      <w:r>
        <w:t>LLMs</w:t>
      </w:r>
      <w:proofErr w:type="spellEnd"/>
      <w:r>
        <w:t xml:space="preserve"> de última generación — sin necesidad de fine-</w:t>
      </w:r>
      <w:proofErr w:type="spellStart"/>
      <w:r>
        <w:t>tuning</w:t>
      </w:r>
      <w:proofErr w:type="spellEnd"/>
      <w:r>
        <w:t xml:space="preserve"> ni datos etiquetados — son capaces de clasificar emociones en texto con una precisión comparable o superior a la de modelos especializados entrenados específicamente para esta tarea. Esta aproximación </w:t>
      </w:r>
      <w:proofErr w:type="spellStart"/>
      <w:r>
        <w:t>zero-shot</w:t>
      </w:r>
      <w:proofErr w:type="spellEnd"/>
      <w:r>
        <w:t xml:space="preserve"> es especialmente relevante en contextos donde los recursos de anotación son limitados o donde se requiere flexibilidad en la taxonomía emocional.</w:t>
      </w:r>
    </w:p>
    <w:p w14:paraId="2AFD4556" w14:textId="77777777" w:rsidR="00315E0A" w:rsidRDefault="00315E0A">
      <w:pPr>
        <w:spacing w:before="60" w:after="60"/>
      </w:pPr>
    </w:p>
    <w:p w14:paraId="5159AF0F" w14:textId="77777777" w:rsidR="00315E0A" w:rsidRDefault="00000000">
      <w:pPr>
        <w:pStyle w:val="Ttulo3"/>
      </w:pPr>
      <w:r>
        <w:t>2.3.2 Trabajos previos y modelos especializados</w:t>
      </w:r>
    </w:p>
    <w:p w14:paraId="789DC2D7" w14:textId="77777777" w:rsidR="00315E0A" w:rsidRDefault="00000000">
      <w:pPr>
        <w:spacing w:before="80" w:after="120" w:line="330" w:lineRule="auto"/>
        <w:jc w:val="both"/>
      </w:pPr>
      <w:r>
        <w:t xml:space="preserve">La historia del análisis automático de emociones en texto comienza con enfoques léxicos como el uso del NRC </w:t>
      </w:r>
      <w:proofErr w:type="spellStart"/>
      <w:r>
        <w:t>Emotion</w:t>
      </w:r>
      <w:proofErr w:type="spellEnd"/>
      <w:r>
        <w:t xml:space="preserve"> </w:t>
      </w:r>
      <w:proofErr w:type="spellStart"/>
      <w:r>
        <w:t>Lexicon</w:t>
      </w:r>
      <w:proofErr w:type="spellEnd"/>
      <w:r>
        <w:t xml:space="preserve">, que asignan puntuaciones emocionales a palabras individuales sin considerar el contexto. La llegada de los modelos de aprendizaje automático </w:t>
      </w:r>
      <w:r>
        <w:lastRenderedPageBreak/>
        <w:t xml:space="preserve">supervisado permitió incorporar características estadísticas del texto (TF-IDF, n-gramas) como entrada a clasificadores como SVM o Random Forest, mejorando notablemente los resultados en </w:t>
      </w:r>
      <w:proofErr w:type="spellStart"/>
      <w:r>
        <w:t>benchmarks</w:t>
      </w:r>
      <w:proofErr w:type="spellEnd"/>
      <w:r>
        <w:t xml:space="preserve"> estandarizados. Sin embargo, la representación de la semántica contextual —fundamental para distinguir, por ejemplo, entre la ira expresada con ironía y la ira literal— seguía siendo insuficiente con estos métodos.</w:t>
      </w:r>
    </w:p>
    <w:p w14:paraId="57489DA0" w14:textId="77777777" w:rsidR="00315E0A" w:rsidRDefault="00000000">
      <w:pPr>
        <w:spacing w:before="80" w:after="120" w:line="330" w:lineRule="auto"/>
        <w:jc w:val="both"/>
      </w:pPr>
      <w:r>
        <w:t xml:space="preserve">La arquitectura </w:t>
      </w:r>
      <w:proofErr w:type="spellStart"/>
      <w:r>
        <w:t>Transformer</w:t>
      </w:r>
      <w:proofErr w:type="spellEnd"/>
      <w:r>
        <w:t xml:space="preserve"> y los modelos </w:t>
      </w:r>
      <w:proofErr w:type="spellStart"/>
      <w:r>
        <w:t>preentrenados</w:t>
      </w:r>
      <w:proofErr w:type="spellEnd"/>
      <w:r>
        <w:t xml:space="preserve"> basados en ella supusieron un salto cualitativo en la tarea. En particular, BERT y sus variantes (</w:t>
      </w:r>
      <w:proofErr w:type="spellStart"/>
      <w:r>
        <w:t>RoBERTa</w:t>
      </w:r>
      <w:proofErr w:type="spellEnd"/>
      <w:r>
        <w:t xml:space="preserve">, </w:t>
      </w:r>
      <w:proofErr w:type="spellStart"/>
      <w:r>
        <w:t>DistilBERT</w:t>
      </w:r>
      <w:proofErr w:type="spellEnd"/>
      <w:r>
        <w:t xml:space="preserve">, </w:t>
      </w:r>
      <w:proofErr w:type="spellStart"/>
      <w:r>
        <w:t>XLNet</w:t>
      </w:r>
      <w:proofErr w:type="spellEnd"/>
      <w:r>
        <w:t xml:space="preserve">) han sido ampliamente evaluados sobre </w:t>
      </w:r>
      <w:proofErr w:type="spellStart"/>
      <w:r>
        <w:t>datasets</w:t>
      </w:r>
      <w:proofErr w:type="spellEnd"/>
      <w:r>
        <w:t xml:space="preserve"> de emociones. Tabak &amp; Sorić (2021) realizaron un estudio comparativo exhaustivo de estos modelos sobre el </w:t>
      </w:r>
      <w:proofErr w:type="spellStart"/>
      <w:r>
        <w:t>dataset</w:t>
      </w:r>
      <w:proofErr w:type="spellEnd"/>
      <w:r>
        <w:t xml:space="preserve"> ISEAR, demostrando la superioridad de los </w:t>
      </w:r>
      <w:proofErr w:type="spellStart"/>
      <w:r>
        <w:t>embeddings</w:t>
      </w:r>
      <w:proofErr w:type="spellEnd"/>
      <w:r>
        <w:t xml:space="preserve"> contextualizados sobre los métodos anteriores (</w:t>
      </w:r>
      <w:hyperlink r:id="rId14" w:history="1">
        <w:r>
          <w:rPr>
            <w:color w:val="2E75B6"/>
            <w:u w:val="single"/>
          </w:rPr>
          <w:t>arXiv:2104.02041</w:t>
        </w:r>
      </w:hyperlink>
      <w:r>
        <w:t xml:space="preserve">). Estudios posteriores, como el de </w:t>
      </w:r>
      <w:proofErr w:type="spellStart"/>
      <w:r>
        <w:t>Zoubi</w:t>
      </w:r>
      <w:proofErr w:type="spellEnd"/>
      <w:r>
        <w:t xml:space="preserve"> et al. (2024), confirman que la incorporación de características psicolingüísticas a los </w:t>
      </w:r>
      <w:proofErr w:type="spellStart"/>
      <w:r>
        <w:t>transformers</w:t>
      </w:r>
      <w:proofErr w:type="spellEnd"/>
      <w:r>
        <w:t xml:space="preserve"> mejora adicionalmente la generalización del modelo (</w:t>
      </w:r>
      <w:hyperlink r:id="rId15" w:history="1">
        <w:r>
          <w:rPr>
            <w:color w:val="2E75B6"/>
            <w:u w:val="single"/>
          </w:rPr>
          <w:t>arXiv:2212.09465</w:t>
        </w:r>
      </w:hyperlink>
      <w:r>
        <w:t xml:space="preserve">). La comparativa más reciente con técnicas lingüísticas sobre </w:t>
      </w:r>
      <w:proofErr w:type="spellStart"/>
      <w:r>
        <w:t>GoEmotions</w:t>
      </w:r>
      <w:proofErr w:type="spellEnd"/>
      <w:r>
        <w:t xml:space="preserve"> puede consultarse en Lecourt et al. (2026) (</w:t>
      </w:r>
      <w:hyperlink r:id="rId16" w:history="1">
        <w:r>
          <w:rPr>
            <w:color w:val="2E75B6"/>
            <w:u w:val="single"/>
          </w:rPr>
          <w:t>arXiv:2603.20222</w:t>
        </w:r>
      </w:hyperlink>
      <w:r>
        <w:t>).</w:t>
      </w:r>
    </w:p>
    <w:p w14:paraId="17D3F625" w14:textId="77777777" w:rsidR="00315E0A" w:rsidRDefault="00000000">
      <w:pPr>
        <w:spacing w:before="80" w:after="120" w:line="330" w:lineRule="auto"/>
        <w:jc w:val="both"/>
      </w:pPr>
      <w:r>
        <w:t xml:space="preserve">En el contexto de las librerías y modelos especializados disponibles actualmente, destacan dos opciones de especial relevancia para este trabajo. </w:t>
      </w:r>
      <w:proofErr w:type="spellStart"/>
      <w:r>
        <w:rPr>
          <w:b/>
          <w:bCs/>
        </w:rPr>
        <w:t>GoEmotions</w:t>
      </w:r>
      <w:proofErr w:type="spellEnd"/>
      <w:r>
        <w:t xml:space="preserve"> es un </w:t>
      </w:r>
      <w:proofErr w:type="spellStart"/>
      <w:r>
        <w:t>dataset</w:t>
      </w:r>
      <w:proofErr w:type="spellEnd"/>
      <w:r>
        <w:t xml:space="preserve"> de 58.000 comentarios de Reddit anotados con 27 categorías emocionales, publicado por Demszky et al. (2020) de Google </w:t>
      </w:r>
      <w:proofErr w:type="spellStart"/>
      <w:r>
        <w:t>Research</w:t>
      </w:r>
      <w:proofErr w:type="spellEnd"/>
      <w:r>
        <w:t xml:space="preserve"> (</w:t>
      </w:r>
      <w:hyperlink r:id="rId17" w:history="1">
        <w:r>
          <w:rPr>
            <w:color w:val="2E75B6"/>
            <w:u w:val="single"/>
          </w:rPr>
          <w:t>Demszky et al., 2020 — arXiv:2005.00547</w:t>
        </w:r>
      </w:hyperlink>
      <w:r>
        <w:t xml:space="preserve">). Junto con el </w:t>
      </w:r>
      <w:proofErr w:type="spellStart"/>
      <w:r>
        <w:t>dataset</w:t>
      </w:r>
      <w:proofErr w:type="spellEnd"/>
      <w:r>
        <w:t xml:space="preserve"> se publicó un modelo BERT de referencia que alcanzó una puntuación F1 media de 0,46, reconociéndose que el espacio de mejora era amplio. El análisis comparativo de distintas familias de modelos sobre </w:t>
      </w:r>
      <w:proofErr w:type="spellStart"/>
      <w:r>
        <w:t>GoEmotions</w:t>
      </w:r>
      <w:proofErr w:type="spellEnd"/>
      <w:r>
        <w:t xml:space="preserve"> ha sido actualizado recientemente por </w:t>
      </w:r>
      <w:proofErr w:type="spellStart"/>
      <w:r>
        <w:t>Harabagiu</w:t>
      </w:r>
      <w:proofErr w:type="spellEnd"/>
      <w:r>
        <w:t xml:space="preserve"> &amp; </w:t>
      </w:r>
      <w:proofErr w:type="spellStart"/>
      <w:r>
        <w:t>Mutihac</w:t>
      </w:r>
      <w:proofErr w:type="spellEnd"/>
      <w:r>
        <w:t xml:space="preserve"> (2026) (</w:t>
      </w:r>
      <w:hyperlink r:id="rId18" w:history="1">
        <w:r>
          <w:rPr>
            <w:color w:val="2E75B6"/>
            <w:u w:val="single"/>
          </w:rPr>
          <w:t>arXiv:2601.18162</w:t>
        </w:r>
      </w:hyperlink>
      <w:r>
        <w:t xml:space="preserve">). Por su parte, </w:t>
      </w:r>
      <w:proofErr w:type="spellStart"/>
      <w:r>
        <w:rPr>
          <w:b/>
          <w:bCs/>
        </w:rPr>
        <w:t>EmoRoBERTa</w:t>
      </w:r>
      <w:proofErr w:type="spellEnd"/>
      <w:r>
        <w:t xml:space="preserve"> es un modelo </w:t>
      </w:r>
      <w:proofErr w:type="spellStart"/>
      <w:r>
        <w:t>RoBERTa</w:t>
      </w:r>
      <w:proofErr w:type="spellEnd"/>
      <w:r>
        <w:t xml:space="preserve"> ajustado específicamente sobre </w:t>
      </w:r>
      <w:proofErr w:type="spellStart"/>
      <w:r>
        <w:t>GoEmotions</w:t>
      </w:r>
      <w:proofErr w:type="spellEnd"/>
      <w:r>
        <w:t xml:space="preserve">, disponible a través de </w:t>
      </w:r>
      <w:proofErr w:type="spellStart"/>
      <w:r>
        <w:t>Hugging</w:t>
      </w:r>
      <w:proofErr w:type="spellEnd"/>
      <w:r>
        <w:t xml:space="preserve"> </w:t>
      </w:r>
      <w:proofErr w:type="spellStart"/>
      <w:r>
        <w:t>Face</w:t>
      </w:r>
      <w:proofErr w:type="spellEnd"/>
      <w:r>
        <w:t>, que representa el estado del arte accesible para clasificación emocional en texto de redes sociales. Ambos modelos son referenciados en este trabajo como representantes del enfoque de fine-</w:t>
      </w:r>
      <w:proofErr w:type="spellStart"/>
      <w:r>
        <w:t>tuning</w:t>
      </w:r>
      <w:proofErr w:type="spellEnd"/>
      <w:r>
        <w:t xml:space="preserve"> sobre </w:t>
      </w:r>
      <w:proofErr w:type="spellStart"/>
      <w:r>
        <w:t>transformers</w:t>
      </w:r>
      <w:proofErr w:type="spellEnd"/>
      <w:r>
        <w:t xml:space="preserve">, con el que se comparan los resultados de los </w:t>
      </w:r>
      <w:proofErr w:type="spellStart"/>
      <w:r>
        <w:t>LLMs</w:t>
      </w:r>
      <w:proofErr w:type="spellEnd"/>
      <w:r>
        <w:t xml:space="preserve"> en modo </w:t>
      </w:r>
      <w:proofErr w:type="spellStart"/>
      <w:r>
        <w:t>zero-shot</w:t>
      </w:r>
      <w:proofErr w:type="spellEnd"/>
      <w:r>
        <w:t>.</w:t>
      </w:r>
    </w:p>
    <w:p w14:paraId="399695F3" w14:textId="77777777" w:rsidR="00315E0A" w:rsidRDefault="00000000">
      <w:pPr>
        <w:spacing w:before="80" w:after="120" w:line="330" w:lineRule="auto"/>
        <w:jc w:val="both"/>
      </w:pPr>
      <w:r>
        <w:t xml:space="preserve">Finalmente, el estudio de detección de emociones en textos de salud mental de Zhang et al. (2025) ilustra la aplicación práctica de estos modelos en contextos reales, comparando </w:t>
      </w:r>
      <w:proofErr w:type="spellStart"/>
      <w:r>
        <w:t>DistilBERT</w:t>
      </w:r>
      <w:proofErr w:type="spellEnd"/>
      <w:r>
        <w:t xml:space="preserve">, </w:t>
      </w:r>
      <w:proofErr w:type="spellStart"/>
      <w:r>
        <w:t>DistilRoBERTa</w:t>
      </w:r>
      <w:proofErr w:type="spellEnd"/>
      <w:r>
        <w:t xml:space="preserve"> y </w:t>
      </w:r>
      <w:proofErr w:type="spellStart"/>
      <w:r>
        <w:t>GoEmotions</w:t>
      </w:r>
      <w:proofErr w:type="spellEnd"/>
      <w:r>
        <w:t xml:space="preserve"> </w:t>
      </w:r>
      <w:proofErr w:type="spellStart"/>
      <w:r>
        <w:t>RoBERTa</w:t>
      </w:r>
      <w:proofErr w:type="spellEnd"/>
      <w:r>
        <w:t xml:space="preserve"> con resultados que muestran la importancia de la elección del modelo base según el dominio (</w:t>
      </w:r>
      <w:hyperlink r:id="rId19" w:history="1">
        <w:r>
          <w:rPr>
            <w:color w:val="2E75B6"/>
            <w:u w:val="single"/>
          </w:rPr>
          <w:t>Zhang et al., 2025 — arXiv:2512.13363</w:t>
        </w:r>
      </w:hyperlink>
      <w:r>
        <w:t xml:space="preserve">). Del mismo modo, el </w:t>
      </w:r>
      <w:proofErr w:type="spellStart"/>
      <w:r>
        <w:t>survey</w:t>
      </w:r>
      <w:proofErr w:type="spellEnd"/>
      <w:r>
        <w:t xml:space="preserve"> sobre </w:t>
      </w:r>
      <w:proofErr w:type="spellStart"/>
      <w:r>
        <w:t>LLMs</w:t>
      </w:r>
      <w:proofErr w:type="spellEnd"/>
      <w:r>
        <w:t xml:space="preserve"> aplicados al análisis emocional de Liu et al. (2024) recoge los principales </w:t>
      </w:r>
      <w:proofErr w:type="spellStart"/>
      <w:r>
        <w:t>benchmark</w:t>
      </w:r>
      <w:proofErr w:type="spellEnd"/>
      <w:r>
        <w:t xml:space="preserve"> y </w:t>
      </w:r>
      <w:proofErr w:type="gramStart"/>
      <w:r>
        <w:t>herramientas utilizados</w:t>
      </w:r>
      <w:proofErr w:type="gramEnd"/>
      <w:r>
        <w:t xml:space="preserve"> en la comunidad investigadora.</w:t>
      </w:r>
    </w:p>
    <w:p w14:paraId="61036112" w14:textId="77777777" w:rsidR="00315E0A" w:rsidRDefault="00000000">
      <w:pPr>
        <w:shd w:val="clear" w:color="auto" w:fill="EEF4FB"/>
        <w:spacing w:before="60" w:after="80" w:line="300" w:lineRule="auto"/>
        <w:ind w:left="480" w:right="480"/>
        <w:jc w:val="both"/>
      </w:pPr>
      <w:r>
        <w:rPr>
          <w:i/>
          <w:iCs/>
          <w:color w:val="666666"/>
          <w:sz w:val="20"/>
          <w:szCs w:val="20"/>
        </w:rPr>
        <w:t>📝 NOTA PARA REVISIÓN: Añade aquí referencias a trabajos concretos del ámbito de tu universidad o de literatura que hayas consultado directamente.</w:t>
      </w:r>
    </w:p>
    <w:p w14:paraId="59AFC88D" w14:textId="77777777" w:rsidR="00315E0A" w:rsidRDefault="00315E0A">
      <w:pPr>
        <w:spacing w:before="60" w:after="60"/>
      </w:pPr>
    </w:p>
    <w:p w14:paraId="47ADC155" w14:textId="77777777" w:rsidR="00315E0A" w:rsidRDefault="00000000">
      <w:pPr>
        <w:pStyle w:val="Ttulo2"/>
      </w:pPr>
      <w:r>
        <w:lastRenderedPageBreak/>
        <w:t>2.4 Gestión de Datos: MongoDB</w:t>
      </w:r>
    </w:p>
    <w:p w14:paraId="6FDEBA3C" w14:textId="77777777" w:rsidR="00315E0A" w:rsidRDefault="00000000">
      <w:pPr>
        <w:pStyle w:val="Ttulo3"/>
      </w:pPr>
      <w:r>
        <w:t>2.4.1 Introducción a las bases de datos NoSQL</w:t>
      </w:r>
    </w:p>
    <w:p w14:paraId="4E9B8044" w14:textId="77777777" w:rsidR="00315E0A" w:rsidRDefault="00000000">
      <w:pPr>
        <w:spacing w:before="80" w:after="120" w:line="330" w:lineRule="auto"/>
        <w:jc w:val="both"/>
      </w:pPr>
      <w:r>
        <w:t xml:space="preserve">En el diseño de sistemas de procesamiento de texto a escala, la elección del sistema de gestión de bases de datos tiene un impacto directo sobre el rendimiento, la flexibilidad del esquema y la facilidad de integración con el resto del pipeline. Las bases de datos relacionales (RDBMS), basadas en el modelo entidad-relación y el lenguaje SQL, imponen esquemas rígidos que pueden resultar inadecuados cuando los documentos a almacenar tienen estructuras variables o cuando el volumen de escrituras concurrentes es elevado. Las bases de datos NoSQL (Not </w:t>
      </w:r>
      <w:proofErr w:type="spellStart"/>
      <w:r>
        <w:t>Only</w:t>
      </w:r>
      <w:proofErr w:type="spellEnd"/>
      <w:r>
        <w:t xml:space="preserve"> SQL) surgen como alternativa para abordar estos escenarios, sacrificando algunas garantías ACID en favor de mayor escalabilidad horizontal y flexibilidad de esquema.</w:t>
      </w:r>
    </w:p>
    <w:p w14:paraId="3E947CE8" w14:textId="77777777" w:rsidR="00315E0A" w:rsidRDefault="00000000">
      <w:pPr>
        <w:spacing w:before="80" w:after="120" w:line="330" w:lineRule="auto"/>
        <w:jc w:val="both"/>
      </w:pPr>
      <w:r>
        <w:t xml:space="preserve">Dentro del panorama NoSQL, existen cuatro grandes familias: bases de datos de documentos (como MongoDB o </w:t>
      </w:r>
      <w:proofErr w:type="spellStart"/>
      <w:r>
        <w:t>CouchDB</w:t>
      </w:r>
      <w:proofErr w:type="spellEnd"/>
      <w:r>
        <w:t xml:space="preserve">), de clave-valor (Redis, </w:t>
      </w:r>
      <w:proofErr w:type="spellStart"/>
      <w:r>
        <w:t>DynamoDB</w:t>
      </w:r>
      <w:proofErr w:type="spellEnd"/>
      <w:r>
        <w:t>), de columnas anchas (</w:t>
      </w:r>
      <w:proofErr w:type="spellStart"/>
      <w:r>
        <w:t>Cassandra</w:t>
      </w:r>
      <w:proofErr w:type="spellEnd"/>
      <w:r>
        <w:t xml:space="preserve">, </w:t>
      </w:r>
      <w:proofErr w:type="spellStart"/>
      <w:r>
        <w:t>HBase</w:t>
      </w:r>
      <w:proofErr w:type="spellEnd"/>
      <w:r>
        <w:t xml:space="preserve">) y de grafos (Neo4j). Para el caso de uso concreto de este trabajo —almacenamiento de mensajes de texto con sus metadatos, etiquetas emocionales y resultados de clasificación— el modelo de documentos es el más adecuado, ya que permite representar cada registro como un documento JSON/BSON con campos variables sin necesidad de definir un esquema previo. El estudio comparativo de </w:t>
      </w:r>
      <w:proofErr w:type="spellStart"/>
      <w:r>
        <w:t>Győrödi</w:t>
      </w:r>
      <w:proofErr w:type="spellEnd"/>
      <w:r>
        <w:t xml:space="preserve"> et al. (2022) sobre operaciones CRUD en MongoDB frente a MySQL confirma las ventajas de rendimiento de MongoDB en escenarios de escritura intensiva (</w:t>
      </w:r>
      <w:proofErr w:type="spellStart"/>
      <w:r>
        <w:fldChar w:fldCharType="begin"/>
      </w:r>
      <w:r>
        <w:instrText>HYPERLINK "https://www.mdpi.com/2504-2289/6/2/49"</w:instrText>
      </w:r>
      <w:r>
        <w:fldChar w:fldCharType="separate"/>
      </w:r>
      <w:r>
        <w:rPr>
          <w:color w:val="2E75B6"/>
          <w:u w:val="single"/>
        </w:rPr>
        <w:t>Győrödi</w:t>
      </w:r>
      <w:proofErr w:type="spellEnd"/>
      <w:r>
        <w:rPr>
          <w:color w:val="2E75B6"/>
          <w:u w:val="single"/>
        </w:rPr>
        <w:t xml:space="preserve"> et al., 2022 — MDPI Big Data </w:t>
      </w:r>
      <w:proofErr w:type="spellStart"/>
      <w:r>
        <w:rPr>
          <w:color w:val="2E75B6"/>
          <w:u w:val="single"/>
        </w:rPr>
        <w:t>Cogn</w:t>
      </w:r>
      <w:proofErr w:type="spellEnd"/>
      <w:r>
        <w:rPr>
          <w:color w:val="2E75B6"/>
          <w:u w:val="single"/>
        </w:rPr>
        <w:t xml:space="preserve">. </w:t>
      </w:r>
      <w:proofErr w:type="spellStart"/>
      <w:r>
        <w:rPr>
          <w:color w:val="2E75B6"/>
          <w:u w:val="single"/>
        </w:rPr>
        <w:t>Comput</w:t>
      </w:r>
      <w:proofErr w:type="spellEnd"/>
      <w:r>
        <w:rPr>
          <w:color w:val="2E75B6"/>
          <w:u w:val="single"/>
        </w:rPr>
        <w:t>.</w:t>
      </w:r>
      <w:r>
        <w:fldChar w:fldCharType="end"/>
      </w:r>
      <w:r>
        <w:t>).</w:t>
      </w:r>
    </w:p>
    <w:p w14:paraId="61889FB4" w14:textId="77777777" w:rsidR="00315E0A" w:rsidRDefault="00000000">
      <w:pPr>
        <w:spacing w:before="80" w:after="120" w:line="330" w:lineRule="auto"/>
        <w:jc w:val="both"/>
      </w:pPr>
      <w:r>
        <w:t xml:space="preserve">La elección de MongoDB frente a otros sistemas NoSQL o relacionales en este proyecto responde a varios criterios. En primer lugar, la naturaleza semiestructurada de los datos: cada registro incluye el texto original, la emoción etiquetada por humanos, la emoción predicha por el modelo, la justificación generada por el LLM, las puntuaciones de certeza y metadatos temporales, con un esquema que evolucionó durante el desarrollo del proyecto. En segundo lugar, la integración nativa de MongoDB con Python mediante la librería </w:t>
      </w:r>
      <w:proofErr w:type="spellStart"/>
      <w:r>
        <w:t>PyMongo</w:t>
      </w:r>
      <w:proofErr w:type="spellEnd"/>
      <w:r>
        <w:t xml:space="preserve"> facilita la inserción y consulta de resultados directamente desde el pipeline de análisis. En tercer lugar, la disponibilidad de MongoDB Compass como herramienta visual de inspección y depuración de los datos almacenados resultó especialmente útil durante las fases de validación del sistema.</w:t>
      </w:r>
    </w:p>
    <w:p w14:paraId="5163AAE9" w14:textId="77777777" w:rsidR="00315E0A" w:rsidRDefault="00000000">
      <w:pPr>
        <w:spacing w:before="80" w:after="120" w:line="330" w:lineRule="auto"/>
        <w:jc w:val="both"/>
      </w:pPr>
      <w:r>
        <w:t xml:space="preserve">La comparativa entre MongoDB y bases de datos relacionales como MySQL ha sido objeto de numerosos estudios. </w:t>
      </w:r>
      <w:proofErr w:type="spellStart"/>
      <w:r>
        <w:t>Pahlawan</w:t>
      </w:r>
      <w:proofErr w:type="spellEnd"/>
      <w:r>
        <w:t xml:space="preserve"> et al. (2021) demuestran que MongoDB supera consistentemente a MySQL en operaciones de escritura en escenarios con datos no estructurados, atribuyendo esta ventaja a la ausencia de las restricciones ACID que obligan al bloqueo de tablas en las bases de datos relacionales (</w:t>
      </w:r>
      <w:proofErr w:type="spellStart"/>
      <w:r>
        <w:fldChar w:fldCharType="begin"/>
      </w:r>
      <w:r>
        <w:instrText>HYPERLINK "https://www.researchgate.net/publication/352039638"</w:instrText>
      </w:r>
      <w:r>
        <w:fldChar w:fldCharType="separate"/>
      </w:r>
      <w:r>
        <w:rPr>
          <w:color w:val="2E75B6"/>
          <w:u w:val="single"/>
        </w:rPr>
        <w:t>Pahlawan</w:t>
      </w:r>
      <w:proofErr w:type="spellEnd"/>
      <w:r>
        <w:rPr>
          <w:color w:val="2E75B6"/>
          <w:u w:val="single"/>
        </w:rPr>
        <w:t xml:space="preserve"> et al., 2021 — </w:t>
      </w:r>
      <w:proofErr w:type="spellStart"/>
      <w:r>
        <w:rPr>
          <w:color w:val="2E75B6"/>
          <w:u w:val="single"/>
        </w:rPr>
        <w:t>ResearchGate</w:t>
      </w:r>
      <w:proofErr w:type="spellEnd"/>
      <w:r>
        <w:fldChar w:fldCharType="end"/>
      </w:r>
      <w:r>
        <w:t>). Esta ventaja es particularmente relevante en el contexto de este proyecto, donde los resultados de clasificación de miles de mensajes son insertados de forma concurrente.</w:t>
      </w:r>
    </w:p>
    <w:p w14:paraId="77A08369" w14:textId="77777777" w:rsidR="00315E0A" w:rsidRDefault="00315E0A">
      <w:pPr>
        <w:spacing w:before="60" w:after="60"/>
      </w:pPr>
    </w:p>
    <w:p w14:paraId="63DE3A05" w14:textId="77777777" w:rsidR="00315E0A" w:rsidRDefault="00000000">
      <w:pPr>
        <w:pStyle w:val="Ttulo3"/>
      </w:pPr>
      <w:r>
        <w:t>2.4.2 MongoDB Compass</w:t>
      </w:r>
    </w:p>
    <w:p w14:paraId="5F64BACA" w14:textId="77777777" w:rsidR="00315E0A" w:rsidRDefault="00000000">
      <w:pPr>
        <w:spacing w:before="80" w:after="120" w:line="330" w:lineRule="auto"/>
        <w:jc w:val="both"/>
      </w:pPr>
      <w:r>
        <w:t xml:space="preserve">MongoDB Compass es la interfaz gráfica oficial de MongoDB, que permite explorar colecciones, ejecutar consultas, visualizar esquemas y analizar el rendimiento de índices sin necesidad de utilizar la línea de comandos. En el contexto de este trabajo, Compass fue utilizado como herramienta de inspección durante el desarrollo y la depuración del pipeline: permitió verificar visualmente la correcta inserción de los documentos, detectar anomalías en los resultados de clasificación y exportar subconjuntos de datos para análisis posteriores. Su integración con el ecosistema MongoDB lo convierte en el complemento natural de </w:t>
      </w:r>
      <w:proofErr w:type="spellStart"/>
      <w:r>
        <w:t>PyMongo</w:t>
      </w:r>
      <w:proofErr w:type="spellEnd"/>
      <w:r>
        <w:t xml:space="preserve"> para proyectos de investigación con necesidades de exploración interactiva de datos.</w:t>
      </w:r>
    </w:p>
    <w:p w14:paraId="365EC395" w14:textId="77777777" w:rsidR="00315E0A" w:rsidRDefault="00315E0A">
      <w:pPr>
        <w:spacing w:before="60" w:after="60"/>
      </w:pPr>
    </w:p>
    <w:p w14:paraId="6C81E9B1" w14:textId="77777777" w:rsidR="00315E0A" w:rsidRDefault="00000000">
      <w:pPr>
        <w:pStyle w:val="Ttulo2"/>
      </w:pPr>
      <w:r>
        <w:t>2.5 Python como Lenguaje de Implementación</w:t>
      </w:r>
    </w:p>
    <w:p w14:paraId="4EEF1ED7" w14:textId="77777777" w:rsidR="00315E0A" w:rsidRDefault="00000000">
      <w:pPr>
        <w:spacing w:before="80" w:after="120" w:line="330" w:lineRule="auto"/>
        <w:jc w:val="both"/>
      </w:pPr>
      <w:r>
        <w:t>Python es el lenguaje de programación dominante en el ecosistema de la Inteligencia Artificial y el Procesamiento del Lenguaje Natural. Su popularidad en este ámbito no es casual: combina una sintaxis expresiva y legible con un ecosistema de librerías científicas y de ML sin parangón (</w:t>
      </w:r>
      <w:proofErr w:type="spellStart"/>
      <w:r>
        <w:t>NumPy</w:t>
      </w:r>
      <w:proofErr w:type="spellEnd"/>
      <w:r>
        <w:t xml:space="preserve">, Pandas, </w:t>
      </w:r>
      <w:proofErr w:type="spellStart"/>
      <w:r>
        <w:t>Scikit-learn</w:t>
      </w:r>
      <w:proofErr w:type="spellEnd"/>
      <w:r>
        <w:t xml:space="preserve">, </w:t>
      </w:r>
      <w:proofErr w:type="spellStart"/>
      <w:r>
        <w:t>PyTorch</w:t>
      </w:r>
      <w:proofErr w:type="spellEnd"/>
      <w:r>
        <w:t xml:space="preserve">, Transformers, entre muchas otras). En el contexto de proyectos de NLP aplicado, Python permite integrar en un mismo script la carga de datos, el preprocesamiento del texto, la llamada a </w:t>
      </w:r>
      <w:proofErr w:type="spellStart"/>
      <w:r>
        <w:t>APIs</w:t>
      </w:r>
      <w:proofErr w:type="spellEnd"/>
      <w:r>
        <w:t xml:space="preserve"> externas, el almacenamiento de resultados en MongoDB y el cálculo de métricas de evaluación, lo que reduce la fricción técnica y acelera el ciclo de desarrollo.</w:t>
      </w:r>
    </w:p>
    <w:p w14:paraId="467EFB8A" w14:textId="77777777" w:rsidR="00315E0A" w:rsidRDefault="00000000">
      <w:pPr>
        <w:spacing w:before="80" w:after="120" w:line="330" w:lineRule="auto"/>
        <w:jc w:val="both"/>
      </w:pPr>
      <w:r>
        <w:t xml:space="preserve">La elección de Python para este trabajo se justifica también por la disponibilidad de los SDK oficiales de las </w:t>
      </w:r>
      <w:proofErr w:type="spellStart"/>
      <w:r>
        <w:t>APIs</w:t>
      </w:r>
      <w:proofErr w:type="spellEnd"/>
      <w:r>
        <w:t xml:space="preserve"> de los </w:t>
      </w:r>
      <w:proofErr w:type="spellStart"/>
      <w:r>
        <w:t>LLMs</w:t>
      </w:r>
      <w:proofErr w:type="spellEnd"/>
      <w:r>
        <w:t xml:space="preserve"> utilizados (</w:t>
      </w:r>
      <w:proofErr w:type="spellStart"/>
      <w:r>
        <w:t>OpenAI</w:t>
      </w:r>
      <w:proofErr w:type="spellEnd"/>
      <w:r>
        <w:t xml:space="preserve">, Google Gemini, </w:t>
      </w:r>
      <w:proofErr w:type="spellStart"/>
      <w:r>
        <w:t>DeepSeek</w:t>
      </w:r>
      <w:proofErr w:type="spellEnd"/>
      <w:r>
        <w:t xml:space="preserve">), todos ellos con clientes Python bien documentados y activamente mantenidos. Del mismo modo, las librerías de análisis de sentimiento referenciadas en este capítulo (VADER, </w:t>
      </w:r>
      <w:proofErr w:type="spellStart"/>
      <w:r>
        <w:t>TextBlob</w:t>
      </w:r>
      <w:proofErr w:type="spellEnd"/>
      <w:r>
        <w:t xml:space="preserve">, </w:t>
      </w:r>
      <w:proofErr w:type="spellStart"/>
      <w:r>
        <w:t>NRCLex</w:t>
      </w:r>
      <w:proofErr w:type="spellEnd"/>
      <w:r>
        <w:t xml:space="preserve">) y los modelos de </w:t>
      </w:r>
      <w:proofErr w:type="spellStart"/>
      <w:r>
        <w:t>transformers</w:t>
      </w:r>
      <w:proofErr w:type="spellEnd"/>
      <w:r>
        <w:t xml:space="preserve"> disponibles en </w:t>
      </w:r>
      <w:proofErr w:type="spellStart"/>
      <w:r>
        <w:t>Hugging</w:t>
      </w:r>
      <w:proofErr w:type="spellEnd"/>
      <w:r>
        <w:t xml:space="preserve"> </w:t>
      </w:r>
      <w:proofErr w:type="spellStart"/>
      <w:r>
        <w:t>Face</w:t>
      </w:r>
      <w:proofErr w:type="spellEnd"/>
      <w:r>
        <w:t xml:space="preserve"> están implementados nativamente en Python. Por último, </w:t>
      </w:r>
      <w:proofErr w:type="spellStart"/>
      <w:r>
        <w:t>PyMongo</w:t>
      </w:r>
      <w:proofErr w:type="spellEnd"/>
      <w:r>
        <w:t>, el driver oficial de MongoDB para Python, permite una integración directa entre el pipeline de análisis y la base de datos, sin necesidad de capas de abstracción adicionales.</w:t>
      </w:r>
    </w:p>
    <w:p w14:paraId="1084CA62" w14:textId="77777777" w:rsidR="00315E0A" w:rsidRDefault="00000000">
      <w:pPr>
        <w:spacing w:before="80" w:after="120" w:line="330" w:lineRule="auto"/>
        <w:jc w:val="both"/>
      </w:pPr>
      <w:r>
        <w:t xml:space="preserve">Desde el punto de vista de la evaluación, Python dispone de utilidades como </w:t>
      </w:r>
      <w:proofErr w:type="spellStart"/>
      <w:r>
        <w:t>Scikit-learn</w:t>
      </w:r>
      <w:proofErr w:type="spellEnd"/>
      <w:r>
        <w:t xml:space="preserve"> para el cálculo de métricas estándar (</w:t>
      </w:r>
      <w:proofErr w:type="spellStart"/>
      <w:r>
        <w:t>accuracy</w:t>
      </w:r>
      <w:proofErr w:type="spellEnd"/>
      <w:r>
        <w:t xml:space="preserve">, </w:t>
      </w:r>
      <w:proofErr w:type="spellStart"/>
      <w:r>
        <w:t>precision</w:t>
      </w:r>
      <w:proofErr w:type="spellEnd"/>
      <w:r>
        <w:t xml:space="preserve">, </w:t>
      </w:r>
      <w:proofErr w:type="spellStart"/>
      <w:r>
        <w:t>recall</w:t>
      </w:r>
      <w:proofErr w:type="spellEnd"/>
      <w:r>
        <w:t xml:space="preserve">, F1-score, matriz de confusión) y de librerías de visualización como </w:t>
      </w:r>
      <w:proofErr w:type="spellStart"/>
      <w:r>
        <w:t>Matplotlib</w:t>
      </w:r>
      <w:proofErr w:type="spellEnd"/>
      <w:r>
        <w:t xml:space="preserve"> y Seaborn para la representación gráfica de los resultados. Estas herramientas han sido utilizadas para generar los análisis cuantitativos presentados en los capítulos de resultados de este trabajo.</w:t>
      </w:r>
    </w:p>
    <w:p w14:paraId="5154BEA2" w14:textId="77777777" w:rsidR="00315E0A" w:rsidRDefault="00315E0A">
      <w:pPr>
        <w:spacing w:before="60" w:after="60"/>
      </w:pPr>
    </w:p>
    <w:p w14:paraId="3B222D0F" w14:textId="77777777" w:rsidR="00315E0A" w:rsidRDefault="00000000">
      <w:pPr>
        <w:pStyle w:val="Ttulo3"/>
      </w:pPr>
      <w:r>
        <w:t>2.5.1 Librerías específicas y métricas de evaluación</w:t>
      </w:r>
    </w:p>
    <w:p w14:paraId="29277AFB" w14:textId="77777777" w:rsidR="00315E0A" w:rsidRDefault="00000000">
      <w:pPr>
        <w:spacing w:before="80" w:after="120" w:line="330" w:lineRule="auto"/>
        <w:jc w:val="both"/>
      </w:pPr>
      <w:r>
        <w:t xml:space="preserve">Las principales librerías utilizadas en este trabajo, además de las ya mencionadas para el análisis de sentimiento, son las siguientes. La librería </w:t>
      </w:r>
      <w:r>
        <w:rPr>
          <w:b/>
          <w:bCs/>
        </w:rPr>
        <w:t xml:space="preserve">Transformers de </w:t>
      </w:r>
      <w:proofErr w:type="spellStart"/>
      <w:r>
        <w:rPr>
          <w:b/>
          <w:bCs/>
        </w:rPr>
        <w:t>Hugging</w:t>
      </w:r>
      <w:proofErr w:type="spellEnd"/>
      <w:r>
        <w:rPr>
          <w:b/>
          <w:bCs/>
        </w:rPr>
        <w:t xml:space="preserve"> </w:t>
      </w:r>
      <w:proofErr w:type="spellStart"/>
      <w:r>
        <w:rPr>
          <w:b/>
          <w:bCs/>
        </w:rPr>
        <w:t>Face</w:t>
      </w:r>
      <w:proofErr w:type="spellEnd"/>
      <w:r>
        <w:t xml:space="preserve"> </w:t>
      </w:r>
      <w:r>
        <w:lastRenderedPageBreak/>
        <w:t xml:space="preserve">proporciona acceso a miles de modelos </w:t>
      </w:r>
      <w:proofErr w:type="spellStart"/>
      <w:r>
        <w:t>preentrenados</w:t>
      </w:r>
      <w:proofErr w:type="spellEnd"/>
      <w:r>
        <w:t xml:space="preserve"> a través de una API unificada. Permite cargar modelos como </w:t>
      </w:r>
      <w:proofErr w:type="spellStart"/>
      <w:r>
        <w:t>EmoRoBERTa</w:t>
      </w:r>
      <w:proofErr w:type="spellEnd"/>
      <w:r>
        <w:t xml:space="preserve"> con pocas líneas de código y ejecutar inferencia directamente sobre texto, devolviendo probabilidades por clase. Su integración con </w:t>
      </w:r>
      <w:proofErr w:type="spellStart"/>
      <w:r>
        <w:t>PyTorch</w:t>
      </w:r>
      <w:proofErr w:type="spellEnd"/>
      <w:r>
        <w:t xml:space="preserve"> facilita la ejecución tanto en CPU como en GPU. La librería </w:t>
      </w:r>
      <w:proofErr w:type="spellStart"/>
      <w:r>
        <w:rPr>
          <w:b/>
          <w:bCs/>
        </w:rPr>
        <w:t>PyMongo</w:t>
      </w:r>
      <w:proofErr w:type="spellEnd"/>
      <w:r>
        <w:t xml:space="preserve"> es el driver oficial de MongoDB para Python: permite conexiones, inserciones, consultas y actualizaciones sobre colecciones MongoDB de forma </w:t>
      </w:r>
      <w:proofErr w:type="spellStart"/>
      <w:r>
        <w:t>pythónica</w:t>
      </w:r>
      <w:proofErr w:type="spellEnd"/>
      <w:r>
        <w:t xml:space="preserve"> y eficiente. La librería </w:t>
      </w:r>
      <w:r>
        <w:rPr>
          <w:b/>
          <w:bCs/>
        </w:rPr>
        <w:t>Pandas</w:t>
      </w:r>
      <w:r>
        <w:t xml:space="preserve"> es utilizada para la carga, manipulación y exportación de los </w:t>
      </w:r>
      <w:proofErr w:type="spellStart"/>
      <w:r>
        <w:t>datasets</w:t>
      </w:r>
      <w:proofErr w:type="spellEnd"/>
      <w:r>
        <w:t xml:space="preserve"> en formato CSV/JSON, facilitando la transformación de los datos entre los distintos pasos del pipeline.</w:t>
      </w:r>
    </w:p>
    <w:p w14:paraId="6AA5C38D" w14:textId="77777777" w:rsidR="00315E0A" w:rsidRDefault="00000000">
      <w:pPr>
        <w:spacing w:before="80" w:after="120" w:line="330" w:lineRule="auto"/>
        <w:jc w:val="both"/>
      </w:pPr>
      <w:r>
        <w:t xml:space="preserve">En cuanto a las métricas de evaluación, la tarea de clasificación emocional es evaluada principalmente mediante la </w:t>
      </w:r>
      <w:r>
        <w:rPr>
          <w:b/>
          <w:bCs/>
        </w:rPr>
        <w:t>puntuación F1 macro</w:t>
      </w:r>
      <w:r>
        <w:t xml:space="preserve">, que calcula la media aritmética de las puntuaciones F1 individuales de cada clase sin ponderar por frecuencia. Esta métrica es especialmente adecuada para </w:t>
      </w:r>
      <w:proofErr w:type="spellStart"/>
      <w:r>
        <w:t>datasets</w:t>
      </w:r>
      <w:proofErr w:type="spellEnd"/>
      <w:r>
        <w:t xml:space="preserve"> con desequilibrio de clases, donde la exactitud (</w:t>
      </w:r>
      <w:proofErr w:type="spellStart"/>
      <w:r>
        <w:t>accuracy</w:t>
      </w:r>
      <w:proofErr w:type="spellEnd"/>
      <w:r>
        <w:t xml:space="preserve">) puede ser engañosa. Complementariamente, se reportan la </w:t>
      </w:r>
      <w:r>
        <w:rPr>
          <w:i/>
          <w:iCs/>
        </w:rPr>
        <w:t>exactitud global</w:t>
      </w:r>
      <w:r>
        <w:t xml:space="preserve">, la </w:t>
      </w:r>
      <w:r>
        <w:rPr>
          <w:i/>
          <w:iCs/>
        </w:rPr>
        <w:t xml:space="preserve">precisión y el </w:t>
      </w:r>
      <w:proofErr w:type="spellStart"/>
      <w:r>
        <w:rPr>
          <w:i/>
          <w:iCs/>
        </w:rPr>
        <w:t>recall</w:t>
      </w:r>
      <w:proofErr w:type="spellEnd"/>
      <w:r>
        <w:rPr>
          <w:i/>
          <w:iCs/>
        </w:rPr>
        <w:t xml:space="preserve"> por clase</w:t>
      </w:r>
      <w:r>
        <w:t xml:space="preserve"> y la </w:t>
      </w:r>
      <w:r>
        <w:rPr>
          <w:i/>
          <w:iCs/>
        </w:rPr>
        <w:t>matriz de confusión</w:t>
      </w:r>
      <w:r>
        <w:t xml:space="preserve"> para identificar los patrones de error del modelo. En trabajos relacionados como el de Demszky et al. (</w:t>
      </w:r>
      <w:proofErr w:type="spellStart"/>
      <w:r>
        <w:t>GoEmotions</w:t>
      </w:r>
      <w:proofErr w:type="spellEnd"/>
      <w:r>
        <w:t>), la puntuación F1 promedio es la métrica primaria de comparación entre sistemas.</w:t>
      </w:r>
    </w:p>
    <w:p w14:paraId="744BE64A" w14:textId="77777777" w:rsidR="00315E0A" w:rsidRDefault="00315E0A">
      <w:pPr>
        <w:spacing w:before="60" w:after="60"/>
      </w:pPr>
    </w:p>
    <w:p w14:paraId="1ECE9E92" w14:textId="77777777" w:rsidR="00315E0A" w:rsidRDefault="00000000">
      <w:pPr>
        <w:pStyle w:val="Ttulo2"/>
      </w:pPr>
      <w:r>
        <w:t>2.6 Modelos de Lenguaje de Gran Tamaño (</w:t>
      </w:r>
      <w:proofErr w:type="spellStart"/>
      <w:r>
        <w:t>LLMs</w:t>
      </w:r>
      <w:proofErr w:type="spellEnd"/>
      <w:r>
        <w:t>)</w:t>
      </w:r>
    </w:p>
    <w:p w14:paraId="77A5F9EA" w14:textId="77777777" w:rsidR="00315E0A" w:rsidRDefault="00000000">
      <w:pPr>
        <w:pStyle w:val="Ttulo3"/>
      </w:pPr>
      <w:r>
        <w:t>2.6.1 Definición y características fundamentales</w:t>
      </w:r>
    </w:p>
    <w:p w14:paraId="35716CA9" w14:textId="77777777" w:rsidR="00315E0A" w:rsidRDefault="00000000">
      <w:pPr>
        <w:spacing w:before="80" w:after="120" w:line="330" w:lineRule="auto"/>
        <w:jc w:val="both"/>
      </w:pPr>
      <w:r>
        <w:t xml:space="preserve">Los Modelos de Lenguaje de Gran Tamaño (Large </w:t>
      </w:r>
      <w:proofErr w:type="spellStart"/>
      <w:r>
        <w:t>Language</w:t>
      </w:r>
      <w:proofErr w:type="spellEnd"/>
      <w:r>
        <w:t xml:space="preserve"> </w:t>
      </w:r>
      <w:proofErr w:type="spellStart"/>
      <w:r>
        <w:t>Models</w:t>
      </w:r>
      <w:proofErr w:type="spellEnd"/>
      <w:r>
        <w:t xml:space="preserve">, </w:t>
      </w:r>
      <w:proofErr w:type="spellStart"/>
      <w:r>
        <w:t>LLMs</w:t>
      </w:r>
      <w:proofErr w:type="spellEnd"/>
      <w:r>
        <w:t xml:space="preserve">) son sistemas de inteligencia artificial basados en la arquitectura </w:t>
      </w:r>
      <w:proofErr w:type="spellStart"/>
      <w:r>
        <w:t>Transformer</w:t>
      </w:r>
      <w:proofErr w:type="spellEnd"/>
      <w:r>
        <w:t>, entrenados sobre corpus masivos de texto mediante el objetivo de predicción del siguiente token (</w:t>
      </w:r>
      <w:proofErr w:type="spellStart"/>
      <w:r>
        <w:t>autoregressive</w:t>
      </w:r>
      <w:proofErr w:type="spellEnd"/>
      <w:r>
        <w:t xml:space="preserve"> </w:t>
      </w:r>
      <w:proofErr w:type="spellStart"/>
      <w:r>
        <w:t>language</w:t>
      </w:r>
      <w:proofErr w:type="spellEnd"/>
      <w:r>
        <w:t xml:space="preserve"> </w:t>
      </w:r>
      <w:proofErr w:type="spellStart"/>
      <w:r>
        <w:t>modeling</w:t>
      </w:r>
      <w:proofErr w:type="spellEnd"/>
      <w:r>
        <w:t xml:space="preserve">) o variantes similares. Su escala —típicamente entre miles de millones y billones de parámetros— les permite desarrollar capacidades emergentes que no estaban presentes en modelos más pequeños: razonamiento en múltiples pasos, generación de código, resolución de problemas matemáticos, comprensión de instrucciones en lenguaje natural y, relevante para este trabajo, clasificación de texto en categorías complejas como emociones. El </w:t>
      </w:r>
      <w:proofErr w:type="spellStart"/>
      <w:r>
        <w:t>survey</w:t>
      </w:r>
      <w:proofErr w:type="spellEnd"/>
      <w:r>
        <w:t xml:space="preserve"> de Zhao et al. (2023) constituye la referencia más citada para una visión sistemática del campo (</w:t>
      </w:r>
      <w:hyperlink r:id="rId20" w:history="1">
        <w:r>
          <w:rPr>
            <w:color w:val="2E75B6"/>
            <w:u w:val="single"/>
          </w:rPr>
          <w:t>Zhao et al., 2023 — arXiv:2303.18223</w:t>
        </w:r>
      </w:hyperlink>
      <w:r>
        <w:t>).</w:t>
      </w:r>
    </w:p>
    <w:p w14:paraId="5B62638A" w14:textId="77777777" w:rsidR="00315E0A" w:rsidRDefault="00000000">
      <w:pPr>
        <w:spacing w:before="80" w:after="120" w:line="330" w:lineRule="auto"/>
        <w:jc w:val="both"/>
      </w:pPr>
      <w:r>
        <w:t xml:space="preserve">Una de las propiedades más relevantes de los </w:t>
      </w:r>
      <w:proofErr w:type="spellStart"/>
      <w:r>
        <w:t>LLMs</w:t>
      </w:r>
      <w:proofErr w:type="spellEnd"/>
      <w:r>
        <w:t xml:space="preserve"> para este trabajo es su capacidad de inferencia </w:t>
      </w:r>
      <w:proofErr w:type="spellStart"/>
      <w:r>
        <w:rPr>
          <w:i/>
          <w:iCs/>
        </w:rPr>
        <w:t>zero-shot</w:t>
      </w:r>
      <w:proofErr w:type="spellEnd"/>
      <w:r>
        <w:rPr>
          <w:i/>
          <w:iCs/>
        </w:rPr>
        <w:t xml:space="preserve"> y </w:t>
      </w:r>
      <w:proofErr w:type="spellStart"/>
      <w:r>
        <w:rPr>
          <w:i/>
          <w:iCs/>
        </w:rPr>
        <w:t>few-shot</w:t>
      </w:r>
      <w:proofErr w:type="spellEnd"/>
      <w:r>
        <w:t xml:space="preserve">. En el modo </w:t>
      </w:r>
      <w:proofErr w:type="spellStart"/>
      <w:r>
        <w:t>zero-shot</w:t>
      </w:r>
      <w:proofErr w:type="spellEnd"/>
      <w:r>
        <w:t xml:space="preserve">, el modelo realiza una tarea de clasificación únicamente a partir de la descripción de la tarea incluida en el </w:t>
      </w:r>
      <w:proofErr w:type="spellStart"/>
      <w:r>
        <w:t>prompt</w:t>
      </w:r>
      <w:proofErr w:type="spellEnd"/>
      <w:r>
        <w:t xml:space="preserve">, sin haber visto ejemplos previos de la tarea específica durante el ajuste fino. Esta capacidad elimina la necesidad de </w:t>
      </w:r>
      <w:proofErr w:type="spellStart"/>
      <w:r>
        <w:t>datasets</w:t>
      </w:r>
      <w:proofErr w:type="spellEnd"/>
      <w:r>
        <w:t xml:space="preserve"> etiquetados costosos y permite explorar nuevas taxonomías emocionales con mínimo esfuerzo de adaptación. La capacidad </w:t>
      </w:r>
      <w:proofErr w:type="spellStart"/>
      <w:r>
        <w:t>zero-shot</w:t>
      </w:r>
      <w:proofErr w:type="spellEnd"/>
      <w:r>
        <w:t xml:space="preserve"> de los </w:t>
      </w:r>
      <w:proofErr w:type="spellStart"/>
      <w:r>
        <w:t>LLMs</w:t>
      </w:r>
      <w:proofErr w:type="spellEnd"/>
      <w:r>
        <w:t xml:space="preserve"> en tareas de clasificación de texto ha sido analizada en múltiples trabajos, entre ellos el estudio comparativo de Gao et al. (2025) sobre clasificación de citas académicas (</w:t>
      </w:r>
      <w:hyperlink r:id="rId21" w:history="1">
        <w:r>
          <w:rPr>
            <w:color w:val="2E75B6"/>
            <w:u w:val="single"/>
          </w:rPr>
          <w:t xml:space="preserve">Gao et al., 2025 — </w:t>
        </w:r>
        <w:r>
          <w:rPr>
            <w:color w:val="2E75B6"/>
            <w:u w:val="single"/>
          </w:rPr>
          <w:lastRenderedPageBreak/>
          <w:t>arXiv:2502.03688</w:t>
        </w:r>
      </w:hyperlink>
      <w:r>
        <w:t xml:space="preserve">) y el </w:t>
      </w:r>
      <w:proofErr w:type="spellStart"/>
      <w:r>
        <w:t>benchmark</w:t>
      </w:r>
      <w:proofErr w:type="spellEnd"/>
      <w:r>
        <w:t xml:space="preserve"> de clasificación </w:t>
      </w:r>
      <w:proofErr w:type="spellStart"/>
      <w:r>
        <w:t>zero-shot</w:t>
      </w:r>
      <w:proofErr w:type="spellEnd"/>
      <w:r>
        <w:t xml:space="preserve"> en contenido de Dark Web de </w:t>
      </w:r>
      <w:proofErr w:type="spellStart"/>
      <w:r>
        <w:t>Pozzar</w:t>
      </w:r>
      <w:proofErr w:type="spellEnd"/>
      <w:r>
        <w:t xml:space="preserve"> et al. (2025) (</w:t>
      </w:r>
      <w:proofErr w:type="spellStart"/>
      <w:r>
        <w:fldChar w:fldCharType="begin"/>
      </w:r>
      <w:r>
        <w:instrText>HYPERLINK "https://www.mdpi.com/2079-9292/14/20/4101"</w:instrText>
      </w:r>
      <w:r>
        <w:fldChar w:fldCharType="separate"/>
      </w:r>
      <w:r>
        <w:rPr>
          <w:color w:val="2E75B6"/>
          <w:u w:val="single"/>
        </w:rPr>
        <w:t>Pozzar</w:t>
      </w:r>
      <w:proofErr w:type="spellEnd"/>
      <w:r>
        <w:rPr>
          <w:color w:val="2E75B6"/>
          <w:u w:val="single"/>
        </w:rPr>
        <w:t xml:space="preserve"> et al., 2025 — </w:t>
      </w:r>
      <w:proofErr w:type="spellStart"/>
      <w:r>
        <w:rPr>
          <w:color w:val="2E75B6"/>
          <w:u w:val="single"/>
        </w:rPr>
        <w:t>Electronics</w:t>
      </w:r>
      <w:proofErr w:type="spellEnd"/>
      <w:r>
        <w:rPr>
          <w:color w:val="2E75B6"/>
          <w:u w:val="single"/>
        </w:rPr>
        <w:t xml:space="preserve"> MDPI</w:t>
      </w:r>
      <w:r>
        <w:fldChar w:fldCharType="end"/>
      </w:r>
      <w:r>
        <w:t>).</w:t>
      </w:r>
    </w:p>
    <w:p w14:paraId="68917E4C" w14:textId="77777777" w:rsidR="00315E0A" w:rsidRDefault="00000000">
      <w:pPr>
        <w:spacing w:before="80" w:after="120" w:line="330" w:lineRule="auto"/>
        <w:jc w:val="both"/>
      </w:pPr>
      <w:r>
        <w:t xml:space="preserve">Desde el punto de vista práctico, el acceso a los </w:t>
      </w:r>
      <w:proofErr w:type="spellStart"/>
      <w:r>
        <w:t>LLMs</w:t>
      </w:r>
      <w:proofErr w:type="spellEnd"/>
      <w:r>
        <w:t xml:space="preserve"> se realiza principalmente a través de </w:t>
      </w:r>
      <w:proofErr w:type="spellStart"/>
      <w:r>
        <w:t>APIs</w:t>
      </w:r>
      <w:proofErr w:type="spellEnd"/>
      <w:r>
        <w:t xml:space="preserve"> REST proporcionadas por los desarrolladores de los modelos. Estas </w:t>
      </w:r>
      <w:proofErr w:type="spellStart"/>
      <w:r>
        <w:t>APIs</w:t>
      </w:r>
      <w:proofErr w:type="spellEnd"/>
      <w:r>
        <w:t xml:space="preserve"> permiten enviar un </w:t>
      </w:r>
      <w:proofErr w:type="spellStart"/>
      <w:r>
        <w:t>prompt</w:t>
      </w:r>
      <w:proofErr w:type="spellEnd"/>
      <w:r>
        <w:t xml:space="preserve"> y recibir la respuesta generada, con parámetros configurables como la temperatura, el número máximo de tokens o el formato de salida estructurada. El coste de uso se mide en tokens procesados (entrada + salida), lo que introduce consideraciones económicas en el diseño del sistema, especialmente cuando se procesan </w:t>
      </w:r>
      <w:proofErr w:type="spellStart"/>
      <w:r>
        <w:t>datasets</w:t>
      </w:r>
      <w:proofErr w:type="spellEnd"/>
      <w:r>
        <w:t xml:space="preserve"> de miles de registros como el ISEAR.</w:t>
      </w:r>
    </w:p>
    <w:p w14:paraId="30A7094B" w14:textId="77777777" w:rsidR="00315E0A" w:rsidRDefault="00315E0A">
      <w:pPr>
        <w:spacing w:before="60" w:after="60"/>
      </w:pPr>
    </w:p>
    <w:p w14:paraId="131C5A5D" w14:textId="6CD65CC0" w:rsidR="00315E0A" w:rsidRDefault="00000000">
      <w:pPr>
        <w:pStyle w:val="Ttulo3"/>
      </w:pPr>
      <w:r>
        <w:t xml:space="preserve">2.6.2 Modelos seleccionados: GPT, </w:t>
      </w:r>
      <w:r w:rsidR="00AA72E5">
        <w:t xml:space="preserve">Mistral, </w:t>
      </w:r>
      <w:r>
        <w:t xml:space="preserve">Gemini y </w:t>
      </w:r>
      <w:proofErr w:type="spellStart"/>
      <w:r>
        <w:t>DeepSeek</w:t>
      </w:r>
      <w:proofErr w:type="spellEnd"/>
    </w:p>
    <w:p w14:paraId="41C36CA4" w14:textId="77777777" w:rsidR="00315E0A" w:rsidRDefault="00000000">
      <w:pPr>
        <w:spacing w:before="80" w:after="120" w:line="330" w:lineRule="auto"/>
        <w:jc w:val="both"/>
      </w:pPr>
      <w:r>
        <w:t xml:space="preserve">Para este trabajo se han seleccionado tres familias de </w:t>
      </w:r>
      <w:proofErr w:type="spellStart"/>
      <w:r>
        <w:t>LLMs</w:t>
      </w:r>
      <w:proofErr w:type="spellEnd"/>
      <w:r>
        <w:t xml:space="preserve"> representativas del estado del arte actual, cada una con características técnicas y económicas diferenciadas.</w:t>
      </w:r>
    </w:p>
    <w:p w14:paraId="012B94AB" w14:textId="77777777" w:rsidR="00315E0A" w:rsidRDefault="00000000">
      <w:pPr>
        <w:spacing w:before="80" w:after="120" w:line="330" w:lineRule="auto"/>
        <w:jc w:val="both"/>
      </w:pPr>
      <w:r>
        <w:rPr>
          <w:b/>
          <w:bCs/>
        </w:rPr>
        <w:t>GPT (</w:t>
      </w:r>
      <w:proofErr w:type="spellStart"/>
      <w:r>
        <w:rPr>
          <w:b/>
          <w:bCs/>
        </w:rPr>
        <w:t>OpenAI</w:t>
      </w:r>
      <w:proofErr w:type="spellEnd"/>
      <w:r>
        <w:rPr>
          <w:b/>
          <w:bCs/>
        </w:rPr>
        <w:t xml:space="preserve">). </w:t>
      </w:r>
      <w:r>
        <w:t xml:space="preserve">La familia GPT (Generative </w:t>
      </w:r>
      <w:proofErr w:type="spellStart"/>
      <w:r>
        <w:t>Pre-trained</w:t>
      </w:r>
      <w:proofErr w:type="spellEnd"/>
      <w:r>
        <w:t xml:space="preserve"> </w:t>
      </w:r>
      <w:proofErr w:type="spellStart"/>
      <w:r>
        <w:t>Transformer</w:t>
      </w:r>
      <w:proofErr w:type="spellEnd"/>
      <w:r>
        <w:t xml:space="preserve">) de </w:t>
      </w:r>
      <w:proofErr w:type="spellStart"/>
      <w:r>
        <w:t>OpenAI</w:t>
      </w:r>
      <w:proofErr w:type="spellEnd"/>
      <w:r>
        <w:t xml:space="preserve"> ha marcado el desarrollo de los </w:t>
      </w:r>
      <w:proofErr w:type="spellStart"/>
      <w:r>
        <w:t>LLMs</w:t>
      </w:r>
      <w:proofErr w:type="spellEnd"/>
      <w:r>
        <w:t xml:space="preserve"> modernos. GPT-4, presentado en el </w:t>
      </w:r>
      <w:proofErr w:type="spellStart"/>
      <w:r>
        <w:t>technical</w:t>
      </w:r>
      <w:proofErr w:type="spellEnd"/>
      <w:r>
        <w:t xml:space="preserve"> </w:t>
      </w:r>
      <w:proofErr w:type="spellStart"/>
      <w:r>
        <w:t>report</w:t>
      </w:r>
      <w:proofErr w:type="spellEnd"/>
      <w:r>
        <w:t xml:space="preserve"> de </w:t>
      </w:r>
      <w:proofErr w:type="spellStart"/>
      <w:r>
        <w:t>OpenAI</w:t>
      </w:r>
      <w:proofErr w:type="spellEnd"/>
      <w:r>
        <w:t xml:space="preserve"> (2023), establece nuevos estándares en comprensión del lenguaje y razonamiento (</w:t>
      </w:r>
      <w:proofErr w:type="spellStart"/>
      <w:r>
        <w:fldChar w:fldCharType="begin"/>
      </w:r>
      <w:r>
        <w:instrText>HYPERLINK "https://arxiv.org/abs/2303.08774"</w:instrText>
      </w:r>
      <w:r>
        <w:fldChar w:fldCharType="separate"/>
      </w:r>
      <w:r>
        <w:rPr>
          <w:color w:val="2E75B6"/>
          <w:u w:val="single"/>
        </w:rPr>
        <w:t>OpenAI</w:t>
      </w:r>
      <w:proofErr w:type="spellEnd"/>
      <w:r>
        <w:rPr>
          <w:color w:val="2E75B6"/>
          <w:u w:val="single"/>
        </w:rPr>
        <w:t>, 2023 — arXiv:2303.08774</w:t>
      </w:r>
      <w:r>
        <w:fldChar w:fldCharType="end"/>
      </w:r>
      <w:r>
        <w:t xml:space="preserve">). La versión GPT-4o-mini, utilizada en este trabajo, ofrece un equilibrio favorable entre capacidad y coste por token, siendo especialmente adecuada para tareas de clasificación de texto a escala. Su uso en tareas de análisis de sentimiento y emoción ha sido validado en múltiples trabajos, incluyendo Berber et al. (2026), que demuestran la eficacia del </w:t>
      </w:r>
      <w:proofErr w:type="spellStart"/>
      <w:r>
        <w:t>few-shot</w:t>
      </w:r>
      <w:proofErr w:type="spellEnd"/>
      <w:r>
        <w:t xml:space="preserve"> </w:t>
      </w:r>
      <w:proofErr w:type="spellStart"/>
      <w:r>
        <w:t>prompting</w:t>
      </w:r>
      <w:proofErr w:type="spellEnd"/>
      <w:r>
        <w:t xml:space="preserve"> con GPT-4o-mini frente a la configuración </w:t>
      </w:r>
      <w:proofErr w:type="spellStart"/>
      <w:r>
        <w:t>zero-shot</w:t>
      </w:r>
      <w:proofErr w:type="spellEnd"/>
      <w:r>
        <w:t xml:space="preserve"> base (</w:t>
      </w:r>
      <w:hyperlink r:id="rId22" w:history="1">
        <w:r>
          <w:rPr>
            <w:color w:val="2E75B6"/>
            <w:u w:val="single"/>
          </w:rPr>
          <w:t>Berber et al., 2026 — arXiv:2601.08302</w:t>
        </w:r>
      </w:hyperlink>
      <w:r>
        <w:t>).</w:t>
      </w:r>
    </w:p>
    <w:p w14:paraId="7FF3035D" w14:textId="77777777" w:rsidR="00315E0A" w:rsidRDefault="00000000">
      <w:pPr>
        <w:spacing w:before="80" w:after="120" w:line="330" w:lineRule="auto"/>
        <w:jc w:val="both"/>
      </w:pPr>
      <w:r>
        <w:rPr>
          <w:b/>
          <w:bCs/>
        </w:rPr>
        <w:t xml:space="preserve">Gemini (Google </w:t>
      </w:r>
      <w:proofErr w:type="spellStart"/>
      <w:r>
        <w:rPr>
          <w:b/>
          <w:bCs/>
        </w:rPr>
        <w:t>DeepMind</w:t>
      </w:r>
      <w:proofErr w:type="spellEnd"/>
      <w:r>
        <w:rPr>
          <w:b/>
          <w:bCs/>
        </w:rPr>
        <w:t xml:space="preserve">). </w:t>
      </w:r>
      <w:r>
        <w:t xml:space="preserve">Gemini es la familia de </w:t>
      </w:r>
      <w:proofErr w:type="spellStart"/>
      <w:r>
        <w:t>LLMs</w:t>
      </w:r>
      <w:proofErr w:type="spellEnd"/>
      <w:r>
        <w:t xml:space="preserve"> multimodales desarrollada por Google </w:t>
      </w:r>
      <w:proofErr w:type="spellStart"/>
      <w:r>
        <w:t>DeepMind</w:t>
      </w:r>
      <w:proofErr w:type="spellEnd"/>
      <w:r>
        <w:t xml:space="preserve">. El </w:t>
      </w:r>
      <w:proofErr w:type="spellStart"/>
      <w:r>
        <w:t>technical</w:t>
      </w:r>
      <w:proofErr w:type="spellEnd"/>
      <w:r>
        <w:t xml:space="preserve"> </w:t>
      </w:r>
      <w:proofErr w:type="spellStart"/>
      <w:r>
        <w:t>report</w:t>
      </w:r>
      <w:proofErr w:type="spellEnd"/>
      <w:r>
        <w:t xml:space="preserve"> de Gemini 1.5 (2024) describe un modelo capaz de procesar ventanas de contexto de hasta un millón de tokens, lo que lo sitúa como referencia en tareas de comprensión de documentos largos (</w:t>
      </w:r>
      <w:hyperlink r:id="rId23" w:history="1">
        <w:r>
          <w:rPr>
            <w:color w:val="2E75B6"/>
            <w:u w:val="single"/>
          </w:rPr>
          <w:t>Gemini Team, 2024 — arXiv:2403.05530</w:t>
        </w:r>
      </w:hyperlink>
      <w:r>
        <w:t xml:space="preserve">). En el contexto de este trabajo se ha utilizado Gemini en su variante flash, optimizada para latencia y coste en tareas de clasificación. La comparativa de Gemini frente a GPT y </w:t>
      </w:r>
      <w:proofErr w:type="spellStart"/>
      <w:r>
        <w:t>DeepSeek</w:t>
      </w:r>
      <w:proofErr w:type="spellEnd"/>
      <w:r>
        <w:t xml:space="preserve"> en escenarios de clasificación </w:t>
      </w:r>
      <w:proofErr w:type="spellStart"/>
      <w:r>
        <w:t>zero-shot</w:t>
      </w:r>
      <w:proofErr w:type="spellEnd"/>
      <w:r>
        <w:t xml:space="preserve"> es analizada en el estudio de </w:t>
      </w:r>
      <w:proofErr w:type="spellStart"/>
      <w:r>
        <w:t>Pozzar</w:t>
      </w:r>
      <w:proofErr w:type="spellEnd"/>
      <w:r>
        <w:t xml:space="preserve"> et al. (2025), donde Gemini 2.0 Flash obtiene resultados competitivos con un macro-F1 de 0,861.</w:t>
      </w:r>
    </w:p>
    <w:p w14:paraId="28D4FD2D" w14:textId="77777777" w:rsidR="00315E0A" w:rsidRDefault="00000000">
      <w:pPr>
        <w:spacing w:before="80" w:after="120" w:line="330" w:lineRule="auto"/>
        <w:jc w:val="both"/>
      </w:pPr>
      <w:proofErr w:type="spellStart"/>
      <w:r>
        <w:rPr>
          <w:b/>
          <w:bCs/>
        </w:rPr>
        <w:t>DeepSeek</w:t>
      </w:r>
      <w:proofErr w:type="spellEnd"/>
      <w:r>
        <w:rPr>
          <w:b/>
          <w:bCs/>
        </w:rPr>
        <w:t xml:space="preserve">. </w:t>
      </w:r>
      <w:proofErr w:type="spellStart"/>
      <w:r>
        <w:t>DeepSeek</w:t>
      </w:r>
      <w:proofErr w:type="spellEnd"/>
      <w:r>
        <w:t xml:space="preserve"> es un LLM de código abierto desarrollado por la empresa china </w:t>
      </w:r>
      <w:proofErr w:type="spellStart"/>
      <w:r>
        <w:t>DeepSeek</w:t>
      </w:r>
      <w:proofErr w:type="spellEnd"/>
      <w:r>
        <w:t xml:space="preserve"> AI. Su versión DeepSeek-R1, presentada en enero de 2025, introduce un enfoque basado en aprendizaje por refuerzo para potenciar las capacidades de razonamiento, compitiendo con modelos propietarios de mayor coste (</w:t>
      </w:r>
      <w:hyperlink r:id="rId24" w:history="1">
        <w:r>
          <w:rPr>
            <w:color w:val="2E75B6"/>
            <w:u w:val="single"/>
          </w:rPr>
          <w:t>Guo et al., 2025 — arXiv:2501.12948</w:t>
        </w:r>
      </w:hyperlink>
      <w:r>
        <w:t xml:space="preserve">). El análisis comparativo de Chen et al. (2025) entre </w:t>
      </w:r>
      <w:proofErr w:type="spellStart"/>
      <w:r>
        <w:t>DeepSeek</w:t>
      </w:r>
      <w:proofErr w:type="spellEnd"/>
      <w:r>
        <w:t xml:space="preserve">, GPT y Gemini en múltiples dimensiones de rendimiento confirma la posición de </w:t>
      </w:r>
      <w:proofErr w:type="spellStart"/>
      <w:r>
        <w:t>DeepSeek</w:t>
      </w:r>
      <w:proofErr w:type="spellEnd"/>
      <w:r>
        <w:t xml:space="preserve"> como alternativa eficiente en coste (</w:t>
      </w:r>
      <w:hyperlink r:id="rId25" w:history="1">
        <w:r>
          <w:rPr>
            <w:color w:val="2E75B6"/>
            <w:u w:val="single"/>
          </w:rPr>
          <w:t>Chen et al., 2025 — arXiv:2503.04783</w:t>
        </w:r>
      </w:hyperlink>
      <w:r>
        <w:t xml:space="preserve">). En el </w:t>
      </w:r>
      <w:proofErr w:type="spellStart"/>
      <w:r>
        <w:t>benchmark</w:t>
      </w:r>
      <w:proofErr w:type="spellEnd"/>
      <w:r>
        <w:t xml:space="preserve"> de clasificación </w:t>
      </w:r>
      <w:proofErr w:type="spellStart"/>
      <w:r>
        <w:t>zero-shot</w:t>
      </w:r>
      <w:proofErr w:type="spellEnd"/>
      <w:r>
        <w:t xml:space="preserve"> de </w:t>
      </w:r>
      <w:proofErr w:type="spellStart"/>
      <w:r>
        <w:lastRenderedPageBreak/>
        <w:t>Pozzar</w:t>
      </w:r>
      <w:proofErr w:type="spellEnd"/>
      <w:r>
        <w:t xml:space="preserve"> et al. (2025), </w:t>
      </w:r>
      <w:proofErr w:type="spellStart"/>
      <w:r>
        <w:t>DeepSeek</w:t>
      </w:r>
      <w:proofErr w:type="spellEnd"/>
      <w:r>
        <w:t xml:space="preserve"> Chat obtiene el macro-F1 más alto (0,870) entre los ocho modelos evaluados, lo que justifica su inclusión en este trabajo.</w:t>
      </w:r>
    </w:p>
    <w:p w14:paraId="0E016611" w14:textId="77777777" w:rsidR="00315E0A" w:rsidRDefault="00000000">
      <w:pPr>
        <w:shd w:val="clear" w:color="auto" w:fill="EEF4FB"/>
        <w:spacing w:before="60" w:after="80" w:line="300" w:lineRule="auto"/>
        <w:ind w:left="480" w:right="480"/>
        <w:jc w:val="both"/>
      </w:pPr>
      <w:r>
        <w:rPr>
          <w:i/>
          <w:iCs/>
          <w:color w:val="666666"/>
          <w:sz w:val="20"/>
          <w:szCs w:val="20"/>
        </w:rPr>
        <w:t xml:space="preserve">📝 NOTA PARA REVISIÓN: Completa este apartado con la versión exacta </w:t>
      </w:r>
      <w:proofErr w:type="gramStart"/>
      <w:r>
        <w:rPr>
          <w:i/>
          <w:iCs/>
          <w:color w:val="666666"/>
          <w:sz w:val="20"/>
          <w:szCs w:val="20"/>
        </w:rPr>
        <w:t>del modelo utilizada</w:t>
      </w:r>
      <w:proofErr w:type="gramEnd"/>
      <w:r>
        <w:rPr>
          <w:i/>
          <w:iCs/>
          <w:color w:val="666666"/>
          <w:sz w:val="20"/>
          <w:szCs w:val="20"/>
        </w:rPr>
        <w:t xml:space="preserve">, el </w:t>
      </w:r>
      <w:proofErr w:type="spellStart"/>
      <w:r>
        <w:rPr>
          <w:i/>
          <w:iCs/>
          <w:color w:val="666666"/>
          <w:sz w:val="20"/>
          <w:szCs w:val="20"/>
        </w:rPr>
        <w:t>pricing</w:t>
      </w:r>
      <w:proofErr w:type="spellEnd"/>
      <w:r>
        <w:rPr>
          <w:i/>
          <w:iCs/>
          <w:color w:val="666666"/>
          <w:sz w:val="20"/>
          <w:szCs w:val="20"/>
        </w:rPr>
        <w:t xml:space="preserve"> por token en el momento del experimento y cualquier limitación de acceso a la API que hayas encontrado.</w:t>
      </w:r>
    </w:p>
    <w:p w14:paraId="66B54EEC" w14:textId="77777777" w:rsidR="00315E0A" w:rsidRDefault="00315E0A">
      <w:pPr>
        <w:spacing w:before="60" w:after="60"/>
      </w:pPr>
    </w:p>
    <w:p w14:paraId="54A1AF24" w14:textId="77777777" w:rsidR="00315E0A" w:rsidRDefault="00000000">
      <w:pPr>
        <w:pStyle w:val="Ttulo3"/>
      </w:pPr>
      <w:r>
        <w:t>2.6.3 Acceso mediante API</w:t>
      </w:r>
    </w:p>
    <w:p w14:paraId="59C8D823" w14:textId="77777777" w:rsidR="00315E0A" w:rsidRDefault="00000000">
      <w:pPr>
        <w:spacing w:before="80" w:after="120" w:line="330" w:lineRule="auto"/>
        <w:jc w:val="both"/>
      </w:pPr>
      <w:r>
        <w:t xml:space="preserve">El acceso a los tres modelos se realiza a través de sus respectivas </w:t>
      </w:r>
      <w:proofErr w:type="spellStart"/>
      <w:r>
        <w:t>APIs</w:t>
      </w:r>
      <w:proofErr w:type="spellEnd"/>
      <w:r>
        <w:t xml:space="preserve"> REST. La API de </w:t>
      </w:r>
      <w:proofErr w:type="spellStart"/>
      <w:r>
        <w:t>OpenAI</w:t>
      </w:r>
      <w:proofErr w:type="spellEnd"/>
      <w:r>
        <w:t xml:space="preserve"> para GPT-4o-mini está disponible en el </w:t>
      </w:r>
      <w:proofErr w:type="spellStart"/>
      <w:r>
        <w:t>endpoint</w:t>
      </w:r>
      <w:proofErr w:type="spellEnd"/>
      <w:r>
        <w:t xml:space="preserve"> </w:t>
      </w:r>
      <w:r>
        <w:rPr>
          <w:rFonts w:ascii="Courier New" w:eastAsia="Courier New" w:hAnsi="Courier New" w:cs="Courier New"/>
          <w:sz w:val="20"/>
          <w:szCs w:val="20"/>
        </w:rPr>
        <w:t>https://api.openai.com/v1/chat/completions</w:t>
      </w:r>
      <w:r>
        <w:t xml:space="preserve"> y requiere autenticación mediante una API </w:t>
      </w:r>
      <w:proofErr w:type="spellStart"/>
      <w:r>
        <w:t>key</w:t>
      </w:r>
      <w:proofErr w:type="spellEnd"/>
      <w:r>
        <w:t xml:space="preserve">. El modelo se especifica en el parámetro </w:t>
      </w:r>
      <w:proofErr w:type="spellStart"/>
      <w:r>
        <w:rPr>
          <w:rFonts w:ascii="Courier New" w:eastAsia="Courier New" w:hAnsi="Courier New" w:cs="Courier New"/>
          <w:sz w:val="20"/>
          <w:szCs w:val="20"/>
        </w:rPr>
        <w:t>model</w:t>
      </w:r>
      <w:proofErr w:type="spellEnd"/>
      <w:r>
        <w:t xml:space="preserve"> y la conversación se estructura como un array de mensajes con roles (</w:t>
      </w:r>
      <w:proofErr w:type="spellStart"/>
      <w:r>
        <w:t>system</w:t>
      </w:r>
      <w:proofErr w:type="spellEnd"/>
      <w:r>
        <w:t xml:space="preserve">, </w:t>
      </w:r>
      <w:proofErr w:type="spellStart"/>
      <w:r>
        <w:t>user</w:t>
      </w:r>
      <w:proofErr w:type="spellEnd"/>
      <w:r>
        <w:t xml:space="preserve">, </w:t>
      </w:r>
      <w:proofErr w:type="spellStart"/>
      <w:r>
        <w:t>assistant</w:t>
      </w:r>
      <w:proofErr w:type="spellEnd"/>
      <w:r>
        <w:t xml:space="preserve">). La API de Gemini de Google, accesible a través de Google AI Studio o </w:t>
      </w:r>
      <w:proofErr w:type="spellStart"/>
      <w:r>
        <w:t>Vertex</w:t>
      </w:r>
      <w:proofErr w:type="spellEnd"/>
      <w:r>
        <w:t xml:space="preserve"> AI, sigue una estructura similar con el </w:t>
      </w:r>
      <w:proofErr w:type="spellStart"/>
      <w:r>
        <w:t>endpoint</w:t>
      </w:r>
      <w:proofErr w:type="spellEnd"/>
      <w:r>
        <w:t xml:space="preserve"> </w:t>
      </w:r>
      <w:r>
        <w:rPr>
          <w:rFonts w:ascii="Courier New" w:eastAsia="Courier New" w:hAnsi="Courier New" w:cs="Courier New"/>
          <w:sz w:val="20"/>
          <w:szCs w:val="20"/>
        </w:rPr>
        <w:t>https://generativelanguage.googleapis.com/v1beta/models/</w:t>
      </w:r>
      <w:r>
        <w:t xml:space="preserve">. </w:t>
      </w:r>
      <w:proofErr w:type="spellStart"/>
      <w:r>
        <w:t>DeepSeek</w:t>
      </w:r>
      <w:proofErr w:type="spellEnd"/>
      <w:r>
        <w:t xml:space="preserve"> ofrece una API compatible con el formato de </w:t>
      </w:r>
      <w:proofErr w:type="spellStart"/>
      <w:r>
        <w:t>OpenAI</w:t>
      </w:r>
      <w:proofErr w:type="spellEnd"/>
      <w:r>
        <w:t>, lo que facilita la migración de código entre modelos. El coste de cada llamada depende del número de tokens de entrada (</w:t>
      </w:r>
      <w:proofErr w:type="spellStart"/>
      <w:r>
        <w:t>prompt</w:t>
      </w:r>
      <w:proofErr w:type="spellEnd"/>
      <w:r>
        <w:t xml:space="preserve">) y de salida (respuesta), lo que hace especialmente relevante el diseño eficiente de los </w:t>
      </w:r>
      <w:proofErr w:type="spellStart"/>
      <w:r>
        <w:t>prompts</w:t>
      </w:r>
      <w:proofErr w:type="spellEnd"/>
      <w:r>
        <w:t>.</w:t>
      </w:r>
    </w:p>
    <w:p w14:paraId="09188B50" w14:textId="77777777" w:rsidR="00315E0A" w:rsidRDefault="00000000">
      <w:pPr>
        <w:spacing w:before="80" w:after="120" w:line="330" w:lineRule="auto"/>
        <w:jc w:val="both"/>
      </w:pPr>
      <w:r>
        <w:t xml:space="preserve">La elección de los modelos concretos para este trabajo se realizó atendiendo a tres criterios: rendimiento en tareas de clasificación de texto (basado en </w:t>
      </w:r>
      <w:proofErr w:type="spellStart"/>
      <w:r>
        <w:t>benchmarks</w:t>
      </w:r>
      <w:proofErr w:type="spellEnd"/>
      <w:r>
        <w:t xml:space="preserve"> públicos), coste por token en el rango de precios vigente en el momento del experimento, y disponibilidad de salida estructurada (</w:t>
      </w:r>
      <w:proofErr w:type="spellStart"/>
      <w:r>
        <w:t>structured</w:t>
      </w:r>
      <w:proofErr w:type="spellEnd"/>
      <w:r>
        <w:t xml:space="preserve"> output), que permite forzar al modelo a responder en un formato JSON predefinido para facilitar el </w:t>
      </w:r>
      <w:proofErr w:type="spellStart"/>
      <w:r>
        <w:t>parseo</w:t>
      </w:r>
      <w:proofErr w:type="spellEnd"/>
      <w:r>
        <w:t xml:space="preserve"> automatizado de los resultados.</w:t>
      </w:r>
    </w:p>
    <w:p w14:paraId="0DA53250" w14:textId="77777777" w:rsidR="00315E0A" w:rsidRDefault="00315E0A">
      <w:pPr>
        <w:spacing w:before="60" w:after="60"/>
      </w:pPr>
    </w:p>
    <w:p w14:paraId="1587EE06" w14:textId="77777777" w:rsidR="00315E0A" w:rsidRDefault="00000000">
      <w:pPr>
        <w:pStyle w:val="Ttulo2"/>
      </w:pPr>
      <w:r>
        <w:t xml:space="preserve">2.7 </w:t>
      </w:r>
      <w:proofErr w:type="spellStart"/>
      <w:r>
        <w:t>Prompt</w:t>
      </w:r>
      <w:proofErr w:type="spellEnd"/>
      <w:r>
        <w:t xml:space="preserve"> </w:t>
      </w:r>
      <w:proofErr w:type="spellStart"/>
      <w:r>
        <w:t>Engineering</w:t>
      </w:r>
      <w:proofErr w:type="spellEnd"/>
      <w:r>
        <w:t xml:space="preserve"> para Clasificación Emocional</w:t>
      </w:r>
    </w:p>
    <w:p w14:paraId="1AC3102F" w14:textId="77777777" w:rsidR="00315E0A" w:rsidRDefault="00000000">
      <w:pPr>
        <w:pStyle w:val="Ttulo3"/>
      </w:pPr>
      <w:r>
        <w:t>2.7.1 Definición y relevancia</w:t>
      </w:r>
    </w:p>
    <w:p w14:paraId="485090CC" w14:textId="77777777" w:rsidR="00315E0A" w:rsidRDefault="00000000">
      <w:pPr>
        <w:spacing w:before="80" w:after="120" w:line="330" w:lineRule="auto"/>
        <w:jc w:val="both"/>
      </w:pPr>
      <w:r>
        <w:t xml:space="preserve">El </w:t>
      </w:r>
      <w:proofErr w:type="spellStart"/>
      <w:r>
        <w:t>Prompt</w:t>
      </w:r>
      <w:proofErr w:type="spellEnd"/>
      <w:r>
        <w:t xml:space="preserve"> </w:t>
      </w:r>
      <w:proofErr w:type="spellStart"/>
      <w:r>
        <w:t>Engineering</w:t>
      </w:r>
      <w:proofErr w:type="spellEnd"/>
      <w:r>
        <w:t xml:space="preserve"> es la disciplina que estudia cómo diseñar las instrucciones (</w:t>
      </w:r>
      <w:proofErr w:type="spellStart"/>
      <w:r>
        <w:t>prompts</w:t>
      </w:r>
      <w:proofErr w:type="spellEnd"/>
      <w:r>
        <w:t>) enviadas a un LLM para maximizar la calidad, consistencia y pertinencia de sus respuestas. A diferencia del fine-</w:t>
      </w:r>
      <w:proofErr w:type="spellStart"/>
      <w:r>
        <w:t>tuning</w:t>
      </w:r>
      <w:proofErr w:type="spellEnd"/>
      <w:r>
        <w:t xml:space="preserve">, que modifica los pesos del modelo, el </w:t>
      </w:r>
      <w:proofErr w:type="spellStart"/>
      <w:r>
        <w:t>Prompt</w:t>
      </w:r>
      <w:proofErr w:type="spellEnd"/>
      <w:r>
        <w:t xml:space="preserve"> </w:t>
      </w:r>
      <w:proofErr w:type="spellStart"/>
      <w:r>
        <w:t>Engineering</w:t>
      </w:r>
      <w:proofErr w:type="spellEnd"/>
      <w:r>
        <w:t xml:space="preserve"> opera en el espacio de entrada sin alterar el modelo subyacente. Su relevancia ha crecido exponencialmente con la proliferación de </w:t>
      </w:r>
      <w:proofErr w:type="spellStart"/>
      <w:r>
        <w:t>LLMs</w:t>
      </w:r>
      <w:proofErr w:type="spellEnd"/>
      <w:r>
        <w:t xml:space="preserve"> accesibles vía API, ya que permite extraer el máximo rendimiento de estos modelos para tareas específicas sin necesidad de infraestructura de entrenamiento. El </w:t>
      </w:r>
      <w:proofErr w:type="spellStart"/>
      <w:r>
        <w:t>survey</w:t>
      </w:r>
      <w:proofErr w:type="spellEnd"/>
      <w:r>
        <w:t xml:space="preserve"> sistemático de Sahoo et al. (2024) documenta más de 29 técnicas distintas de </w:t>
      </w:r>
      <w:proofErr w:type="spellStart"/>
      <w:r>
        <w:t>prompting</w:t>
      </w:r>
      <w:proofErr w:type="spellEnd"/>
      <w:r>
        <w:t xml:space="preserve"> categorizadas por tipo de tarea (</w:t>
      </w:r>
      <w:hyperlink r:id="rId26" w:history="1">
        <w:r>
          <w:rPr>
            <w:color w:val="2E75B6"/>
            <w:u w:val="single"/>
          </w:rPr>
          <w:t>Sahoo et al., 2024 — arXiv:2402.07927</w:t>
        </w:r>
      </w:hyperlink>
      <w:r>
        <w:t>).</w:t>
      </w:r>
    </w:p>
    <w:p w14:paraId="55CFC504" w14:textId="77777777" w:rsidR="00315E0A" w:rsidRDefault="00000000">
      <w:pPr>
        <w:spacing w:before="80" w:after="120" w:line="330" w:lineRule="auto"/>
        <w:jc w:val="both"/>
      </w:pPr>
      <w:r>
        <w:t xml:space="preserve">En el contexto de la clasificación emocional, el diseño del </w:t>
      </w:r>
      <w:proofErr w:type="spellStart"/>
      <w:r>
        <w:t>prompt</w:t>
      </w:r>
      <w:proofErr w:type="spellEnd"/>
      <w:r>
        <w:t xml:space="preserve"> tiene implicaciones directas sobre la precisión del sistema, el coste de inferencia y la variabilidad de los resultados. Un </w:t>
      </w:r>
      <w:proofErr w:type="spellStart"/>
      <w:r>
        <w:lastRenderedPageBreak/>
        <w:t>prompt</w:t>
      </w:r>
      <w:proofErr w:type="spellEnd"/>
      <w:r>
        <w:t xml:space="preserve"> mal diseñado puede producir respuestas ambiguas, fuera del espacio de clases esperado o con formatos inconsistentes que dificultan el </w:t>
      </w:r>
      <w:proofErr w:type="spellStart"/>
      <w:r>
        <w:t>parseo</w:t>
      </w:r>
      <w:proofErr w:type="spellEnd"/>
      <w:r>
        <w:t xml:space="preserve"> automatizado. Por el contrario, un </w:t>
      </w:r>
      <w:proofErr w:type="spellStart"/>
      <w:r>
        <w:t>prompt</w:t>
      </w:r>
      <w:proofErr w:type="spellEnd"/>
      <w:r>
        <w:t xml:space="preserve"> cuidadosamente diseñado puede dirigir al modelo hacia respuestas estructuradas, justificadas y reproducibles. Berber et al. (2026) demuestran que el diseño del </w:t>
      </w:r>
      <w:proofErr w:type="spellStart"/>
      <w:r>
        <w:t>prompt</w:t>
      </w:r>
      <w:proofErr w:type="spellEnd"/>
      <w:r>
        <w:t xml:space="preserve"> —más que la elección del modelo— es el factor que mayor impacto tiene sobre el rendimiento en tareas de análisis de sentimiento e ironía con </w:t>
      </w:r>
      <w:proofErr w:type="spellStart"/>
      <w:r>
        <w:t>LLMs</w:t>
      </w:r>
      <w:proofErr w:type="spellEnd"/>
      <w:r>
        <w:t xml:space="preserve"> (</w:t>
      </w:r>
      <w:hyperlink r:id="rId27" w:history="1">
        <w:r>
          <w:rPr>
            <w:color w:val="2E75B6"/>
            <w:u w:val="single"/>
          </w:rPr>
          <w:t>Berber et al., 2026 — arXiv:2601.08302</w:t>
        </w:r>
      </w:hyperlink>
      <w:r>
        <w:t>).</w:t>
      </w:r>
    </w:p>
    <w:p w14:paraId="1EC5FB4E" w14:textId="77777777" w:rsidR="00315E0A" w:rsidRDefault="00315E0A">
      <w:pPr>
        <w:spacing w:before="60" w:after="60"/>
      </w:pPr>
    </w:p>
    <w:p w14:paraId="2C469270" w14:textId="77777777" w:rsidR="00315E0A" w:rsidRDefault="00000000">
      <w:pPr>
        <w:pStyle w:val="Ttulo3"/>
      </w:pPr>
      <w:r>
        <w:t>2.7.2 Técnicas aplicadas en este trabajo</w:t>
      </w:r>
    </w:p>
    <w:p w14:paraId="2A6CA7E2" w14:textId="77777777" w:rsidR="00315E0A" w:rsidRDefault="00000000">
      <w:pPr>
        <w:spacing w:before="80" w:after="120" w:line="330" w:lineRule="auto"/>
        <w:jc w:val="both"/>
      </w:pPr>
      <w:r>
        <w:rPr>
          <w:b/>
          <w:bCs/>
        </w:rPr>
        <w:t>Zero-</w:t>
      </w:r>
      <w:proofErr w:type="spellStart"/>
      <w:r>
        <w:rPr>
          <w:b/>
          <w:bCs/>
        </w:rPr>
        <w:t>shot</w:t>
      </w:r>
      <w:proofErr w:type="spellEnd"/>
      <w:r>
        <w:rPr>
          <w:b/>
          <w:bCs/>
        </w:rPr>
        <w:t xml:space="preserve"> </w:t>
      </w:r>
      <w:proofErr w:type="spellStart"/>
      <w:r>
        <w:rPr>
          <w:b/>
          <w:bCs/>
        </w:rPr>
        <w:t>prompting</w:t>
      </w:r>
      <w:proofErr w:type="spellEnd"/>
      <w:r>
        <w:rPr>
          <w:b/>
          <w:bCs/>
        </w:rPr>
        <w:t xml:space="preserve">. </w:t>
      </w:r>
      <w:r>
        <w:t xml:space="preserve">En la clasificación </w:t>
      </w:r>
      <w:proofErr w:type="spellStart"/>
      <w:r>
        <w:t>zero-shot</w:t>
      </w:r>
      <w:proofErr w:type="spellEnd"/>
      <w:r>
        <w:t xml:space="preserve">, el </w:t>
      </w:r>
      <w:proofErr w:type="spellStart"/>
      <w:r>
        <w:t>prompt</w:t>
      </w:r>
      <w:proofErr w:type="spellEnd"/>
      <w:r>
        <w:t xml:space="preserve"> describe la tarea y las categorías posibles sin proporcionar ejemplos previos. El modelo infiere el patrón de clasificación a partir de su conocimiento </w:t>
      </w:r>
      <w:proofErr w:type="spellStart"/>
      <w:r>
        <w:t>preentrenado</w:t>
      </w:r>
      <w:proofErr w:type="spellEnd"/>
      <w:r>
        <w:t xml:space="preserve"> y de las instrucciones del </w:t>
      </w:r>
      <w:proofErr w:type="spellStart"/>
      <w:r>
        <w:t>prompt</w:t>
      </w:r>
      <w:proofErr w:type="spellEnd"/>
      <w:r>
        <w:t>. Esta técnica es la base de la aproximación de este trabajo: se proporciona al modelo la lista de emociones válidas (</w:t>
      </w:r>
      <w:proofErr w:type="spellStart"/>
      <w:r>
        <w:t>joy</w:t>
      </w:r>
      <w:proofErr w:type="spellEnd"/>
      <w:r>
        <w:t xml:space="preserve">, </w:t>
      </w:r>
      <w:proofErr w:type="spellStart"/>
      <w:r>
        <w:t>sadness</w:t>
      </w:r>
      <w:proofErr w:type="spellEnd"/>
      <w:r>
        <w:t xml:space="preserve">, </w:t>
      </w:r>
      <w:proofErr w:type="spellStart"/>
      <w:r>
        <w:t>anger</w:t>
      </w:r>
      <w:proofErr w:type="spellEnd"/>
      <w:r>
        <w:t xml:space="preserve">, </w:t>
      </w:r>
      <w:proofErr w:type="spellStart"/>
      <w:r>
        <w:t>fear</w:t>
      </w:r>
      <w:proofErr w:type="spellEnd"/>
      <w:r>
        <w:t xml:space="preserve">, </w:t>
      </w:r>
      <w:proofErr w:type="spellStart"/>
      <w:r>
        <w:t>disgust</w:t>
      </w:r>
      <w:proofErr w:type="spellEnd"/>
      <w:r>
        <w:t xml:space="preserve">, </w:t>
      </w:r>
      <w:proofErr w:type="spellStart"/>
      <w:r>
        <w:t>shame</w:t>
      </w:r>
      <w:proofErr w:type="spellEnd"/>
      <w:r>
        <w:t xml:space="preserve">, </w:t>
      </w:r>
      <w:proofErr w:type="spellStart"/>
      <w:r>
        <w:t>guilt</w:t>
      </w:r>
      <w:proofErr w:type="spellEnd"/>
      <w:r>
        <w:t xml:space="preserve">) y se le instruye para que asigne la más apropiada al texto de entrada. El </w:t>
      </w:r>
      <w:proofErr w:type="spellStart"/>
      <w:r>
        <w:t>survey</w:t>
      </w:r>
      <w:proofErr w:type="spellEnd"/>
      <w:r>
        <w:t xml:space="preserve"> de Schulhoff et al. (2024) — </w:t>
      </w:r>
      <w:hyperlink r:id="rId28" w:history="1">
        <w:r>
          <w:rPr>
            <w:color w:val="2E75B6"/>
            <w:u w:val="single"/>
          </w:rPr>
          <w:t xml:space="preserve">The </w:t>
        </w:r>
        <w:proofErr w:type="spellStart"/>
        <w:r>
          <w:rPr>
            <w:color w:val="2E75B6"/>
            <w:u w:val="single"/>
          </w:rPr>
          <w:t>Prompt</w:t>
        </w:r>
        <w:proofErr w:type="spellEnd"/>
        <w:r>
          <w:rPr>
            <w:color w:val="2E75B6"/>
            <w:u w:val="single"/>
          </w:rPr>
          <w:t xml:space="preserve"> </w:t>
        </w:r>
        <w:proofErr w:type="spellStart"/>
        <w:r>
          <w:rPr>
            <w:color w:val="2E75B6"/>
            <w:u w:val="single"/>
          </w:rPr>
          <w:t>Report</w:t>
        </w:r>
        <w:proofErr w:type="spellEnd"/>
        <w:r>
          <w:rPr>
            <w:color w:val="2E75B6"/>
            <w:u w:val="single"/>
          </w:rPr>
          <w:t xml:space="preserve"> — </w:t>
        </w:r>
        <w:proofErr w:type="spellStart"/>
        <w:r>
          <w:rPr>
            <w:color w:val="2E75B6"/>
            <w:u w:val="single"/>
          </w:rPr>
          <w:t>Oxen</w:t>
        </w:r>
        <w:proofErr w:type="spellEnd"/>
        <w:r>
          <w:rPr>
            <w:color w:val="2E75B6"/>
            <w:u w:val="single"/>
          </w:rPr>
          <w:t xml:space="preserve"> AI</w:t>
        </w:r>
      </w:hyperlink>
      <w:r>
        <w:t xml:space="preserve"> — proporciona una taxonomía exhaustiva de las variantes de </w:t>
      </w:r>
      <w:proofErr w:type="spellStart"/>
      <w:r>
        <w:t>zero-shot</w:t>
      </w:r>
      <w:proofErr w:type="spellEnd"/>
      <w:r>
        <w:t xml:space="preserve"> y </w:t>
      </w:r>
      <w:proofErr w:type="spellStart"/>
      <w:r>
        <w:t>few-shot</w:t>
      </w:r>
      <w:proofErr w:type="spellEnd"/>
      <w:r>
        <w:t xml:space="preserve"> </w:t>
      </w:r>
      <w:proofErr w:type="spellStart"/>
      <w:r>
        <w:t>prompting</w:t>
      </w:r>
      <w:proofErr w:type="spellEnd"/>
      <w:r>
        <w:t xml:space="preserve">. El trabajo de Lu et al. (2025) sobre clasificación </w:t>
      </w:r>
      <w:proofErr w:type="spellStart"/>
      <w:r>
        <w:t>zero-shot</w:t>
      </w:r>
      <w:proofErr w:type="spellEnd"/>
      <w:r>
        <w:t xml:space="preserve"> emocional con </w:t>
      </w:r>
      <w:proofErr w:type="spellStart"/>
      <w:r>
        <w:t>LLMs</w:t>
      </w:r>
      <w:proofErr w:type="spellEnd"/>
      <w:r>
        <w:t xml:space="preserve"> demuestra que modelos compactos entrenados mediante destilación del conocimiento de GPT-4 pueden igualar el rendimiento del modelo original en configuración </w:t>
      </w:r>
      <w:proofErr w:type="spellStart"/>
      <w:r>
        <w:t>zero-shot</w:t>
      </w:r>
      <w:proofErr w:type="spellEnd"/>
      <w:r>
        <w:t xml:space="preserve"> (</w:t>
      </w:r>
      <w:hyperlink r:id="rId29" w:history="1">
        <w:r>
          <w:rPr>
            <w:color w:val="2E75B6"/>
            <w:u w:val="single"/>
          </w:rPr>
          <w:t>Lu et al., 2025 — arXiv:2505.18040</w:t>
        </w:r>
      </w:hyperlink>
      <w:r>
        <w:t>).</w:t>
      </w:r>
    </w:p>
    <w:p w14:paraId="257150BC" w14:textId="77777777" w:rsidR="00315E0A" w:rsidRDefault="00000000">
      <w:pPr>
        <w:spacing w:before="80" w:after="120" w:line="330" w:lineRule="auto"/>
        <w:jc w:val="both"/>
      </w:pPr>
      <w:proofErr w:type="spellStart"/>
      <w:r>
        <w:rPr>
          <w:b/>
          <w:bCs/>
        </w:rPr>
        <w:t>Structured</w:t>
      </w:r>
      <w:proofErr w:type="spellEnd"/>
      <w:r>
        <w:rPr>
          <w:b/>
          <w:bCs/>
        </w:rPr>
        <w:t xml:space="preserve"> output. </w:t>
      </w:r>
      <w:r>
        <w:t xml:space="preserve">Los modelos modernos permiten forzar la respuesta en un formato JSON predefinido mediante el parámetro </w:t>
      </w:r>
      <w:proofErr w:type="spellStart"/>
      <w:r>
        <w:rPr>
          <w:rFonts w:ascii="Courier New" w:eastAsia="Courier New" w:hAnsi="Courier New" w:cs="Courier New"/>
          <w:sz w:val="20"/>
          <w:szCs w:val="20"/>
        </w:rPr>
        <w:t>response_format</w:t>
      </w:r>
      <w:proofErr w:type="spellEnd"/>
      <w:r>
        <w:t xml:space="preserve"> de la API (</w:t>
      </w:r>
      <w:proofErr w:type="spellStart"/>
      <w:r>
        <w:t>OpenAI</w:t>
      </w:r>
      <w:proofErr w:type="spellEnd"/>
      <w:r>
        <w:t xml:space="preserve">) o mediante instrucciones explícitas en el </w:t>
      </w:r>
      <w:proofErr w:type="spellStart"/>
      <w:r>
        <w:t>prompt</w:t>
      </w:r>
      <w:proofErr w:type="spellEnd"/>
      <w:r>
        <w:t xml:space="preserve">. En este trabajo, cada respuesta del LLM incluye los campos: emoción predicha, certeza (en porcentaje), justificación textual y metadatos temporales. Este enfoque elimina la necesidad de </w:t>
      </w:r>
      <w:proofErr w:type="spellStart"/>
      <w:r>
        <w:t>parseo</w:t>
      </w:r>
      <w:proofErr w:type="spellEnd"/>
      <w:r>
        <w:t xml:space="preserve"> heurístico y reduce el porcentaje de respuestas no </w:t>
      </w:r>
      <w:proofErr w:type="spellStart"/>
      <w:r>
        <w:t>parseables</w:t>
      </w:r>
      <w:proofErr w:type="spellEnd"/>
      <w:r>
        <w:t xml:space="preserve">, uno de los principales problemas en sistemas de clasificación basados en </w:t>
      </w:r>
      <w:proofErr w:type="spellStart"/>
      <w:r>
        <w:t>LLMs</w:t>
      </w:r>
      <w:proofErr w:type="spellEnd"/>
      <w:r>
        <w:t>.</w:t>
      </w:r>
    </w:p>
    <w:p w14:paraId="073308A7" w14:textId="77777777" w:rsidR="00315E0A" w:rsidRDefault="00000000">
      <w:pPr>
        <w:spacing w:before="80" w:after="120" w:line="330" w:lineRule="auto"/>
        <w:jc w:val="both"/>
      </w:pPr>
      <w:r>
        <w:rPr>
          <w:b/>
          <w:bCs/>
        </w:rPr>
        <w:t xml:space="preserve">Temperatura y consistencia. </w:t>
      </w:r>
      <w:r>
        <w:t xml:space="preserve">La temperatura es un </w:t>
      </w:r>
      <w:proofErr w:type="spellStart"/>
      <w:r>
        <w:t>hiperparámetro</w:t>
      </w:r>
      <w:proofErr w:type="spellEnd"/>
      <w:r>
        <w:t xml:space="preserve"> que controla la aleatoriedad de la distribución de probabilidad sobre los tokens generados. Una temperatura de 0 produce respuestas deterministas (el modelo siempre elige el token más probable), lo que maximiza la reproducibilidad de los resultados. En el contexto de la clasificación emocional, donde se desea consistencia entre ejecuciones, se ha utilizado temperatura 0 o valores próximos a 0 en todos los modelos. Gao et al. (2025) documentan la variabilidad temporal de distintos </w:t>
      </w:r>
      <w:proofErr w:type="spellStart"/>
      <w:r>
        <w:t>LLMs</w:t>
      </w:r>
      <w:proofErr w:type="spellEnd"/>
      <w:r>
        <w:t xml:space="preserve"> en tareas de clasificación, observando que modelos como Claude y DeepSeek-V3 presentan mayor estabilidad entre ejecuciones que GPT o Gemini (</w:t>
      </w:r>
      <w:hyperlink r:id="rId30" w:history="1">
        <w:r>
          <w:rPr>
            <w:color w:val="2E75B6"/>
            <w:u w:val="single"/>
          </w:rPr>
          <w:t>Gao et al., 2025 — arXiv:2502.03688</w:t>
        </w:r>
      </w:hyperlink>
      <w:r>
        <w:t>).</w:t>
      </w:r>
    </w:p>
    <w:p w14:paraId="4BDFA5AA" w14:textId="77777777" w:rsidR="00315E0A" w:rsidRDefault="00000000">
      <w:pPr>
        <w:spacing w:before="80" w:after="120" w:line="330" w:lineRule="auto"/>
        <w:jc w:val="both"/>
      </w:pPr>
      <w:r>
        <w:rPr>
          <w:b/>
          <w:bCs/>
        </w:rPr>
        <w:t xml:space="preserve">Problemas de variabilidad y control del formato. </w:t>
      </w:r>
      <w:r>
        <w:t xml:space="preserve">A pesar del uso de </w:t>
      </w:r>
      <w:proofErr w:type="spellStart"/>
      <w:r>
        <w:t>structured</w:t>
      </w:r>
      <w:proofErr w:type="spellEnd"/>
      <w:r>
        <w:t xml:space="preserve"> output y temperatura baja, los </w:t>
      </w:r>
      <w:proofErr w:type="spellStart"/>
      <w:r>
        <w:t>LLMs</w:t>
      </w:r>
      <w:proofErr w:type="spellEnd"/>
      <w:r>
        <w:t xml:space="preserve"> pueden producir respuestas inesperadas en una fracción de las </w:t>
      </w:r>
      <w:r>
        <w:lastRenderedPageBreak/>
        <w:t>llamadas: etiquetas fuera del vocabulario definido, JSON mal formado, justificaciones vacías o respuestas que mezclan idiomas. En este trabajo se implementó una capa de validación posterior a la llamada a la API que verifica la estructura del JSON, normaliza las etiquetas emocionales (por ejemplo, mapeando variantes como "</w:t>
      </w:r>
      <w:proofErr w:type="spellStart"/>
      <w:r>
        <w:t>angry</w:t>
      </w:r>
      <w:proofErr w:type="spellEnd"/>
      <w:r>
        <w:t>" a "</w:t>
      </w:r>
      <w:proofErr w:type="spellStart"/>
      <w:r>
        <w:t>anger</w:t>
      </w:r>
      <w:proofErr w:type="spellEnd"/>
      <w:r>
        <w:t xml:space="preserve">") y registra los casos de respuesta inválida para su análisis manual. Este problema es inherente a la naturaleza generativa de los </w:t>
      </w:r>
      <w:proofErr w:type="spellStart"/>
      <w:r>
        <w:t>LLMs</w:t>
      </w:r>
      <w:proofErr w:type="spellEnd"/>
      <w:r>
        <w:t xml:space="preserve"> y constituye uno de los desafíos prácticos más relevantes en su aplicación a tareas de clasificación estructurada. La importancia del diseño de </w:t>
      </w:r>
      <w:proofErr w:type="spellStart"/>
      <w:r>
        <w:t>prompts</w:t>
      </w:r>
      <w:proofErr w:type="spellEnd"/>
      <w:r>
        <w:t xml:space="preserve"> consistentes para minimizar esta variabilidad es discutida en profundidad en Schulhoff et al. (2024) y en el trabajo de evaluación de </w:t>
      </w:r>
      <w:proofErr w:type="spellStart"/>
      <w:r>
        <w:t>prompts</w:t>
      </w:r>
      <w:proofErr w:type="spellEnd"/>
      <w:r>
        <w:t xml:space="preserve"> para control emocional de Tran et al. (2026) (</w:t>
      </w:r>
      <w:hyperlink r:id="rId31" w:history="1">
        <w:r>
          <w:rPr>
            <w:color w:val="2E75B6"/>
            <w:u w:val="single"/>
          </w:rPr>
          <w:t>Tran et al., 2026 — arXiv:2602.06692</w:t>
        </w:r>
      </w:hyperlink>
      <w:r>
        <w:t>).</w:t>
      </w:r>
    </w:p>
    <w:p w14:paraId="5DE35109" w14:textId="77777777" w:rsidR="00315E0A" w:rsidRDefault="00000000">
      <w:pPr>
        <w:shd w:val="clear" w:color="auto" w:fill="EEF4FB"/>
        <w:spacing w:before="60" w:after="80" w:line="300" w:lineRule="auto"/>
        <w:ind w:left="480" w:right="480"/>
        <w:jc w:val="both"/>
      </w:pPr>
      <w:r>
        <w:rPr>
          <w:i/>
          <w:iCs/>
          <w:color w:val="666666"/>
          <w:sz w:val="20"/>
          <w:szCs w:val="20"/>
        </w:rPr>
        <w:t>📝 NOTA PARA REVISIÓN: Este capítulo cierra el estado del arte. El capítulo siguiente describe la metodología del trabajo: el diseño del pipeline de clasificación, los experimentos realizados y las decisiones de implementación adoptadas.</w:t>
      </w:r>
    </w:p>
    <w:p w14:paraId="74A89DC8" w14:textId="77777777" w:rsidR="00315E0A" w:rsidRDefault="00315E0A">
      <w:pPr>
        <w:spacing w:before="60" w:after="60"/>
      </w:pPr>
    </w:p>
    <w:p w14:paraId="03BA07DB" w14:textId="77777777" w:rsidR="00315E0A" w:rsidRDefault="00000000">
      <w:pPr>
        <w:spacing w:before="80" w:after="120" w:line="330" w:lineRule="auto"/>
        <w:jc w:val="both"/>
      </w:pPr>
      <w:r>
        <w:rPr>
          <w:b/>
          <w:bCs/>
        </w:rPr>
        <w:t>Síntesis del estado del arte</w:t>
      </w:r>
    </w:p>
    <w:p w14:paraId="12CC1C53" w14:textId="77777777" w:rsidR="00315E0A" w:rsidRDefault="00000000">
      <w:pPr>
        <w:spacing w:before="80" w:after="120" w:line="330" w:lineRule="auto"/>
        <w:jc w:val="both"/>
      </w:pPr>
      <w:r>
        <w:t xml:space="preserve">Los trabajos revisados en este capítulo muestran una convergencia clara en la investigación en NLP afectivo: los modelos basados en Transformers superan consistentemente a los enfoques léxicos en tareas de clasificación emocional, pero requieren datos etiquetados para el ajuste fino. La aproximación </w:t>
      </w:r>
      <w:proofErr w:type="spellStart"/>
      <w:r>
        <w:t>zero-shot</w:t>
      </w:r>
      <w:proofErr w:type="spellEnd"/>
      <w:r>
        <w:t xml:space="preserve"> mediante </w:t>
      </w:r>
      <w:proofErr w:type="spellStart"/>
      <w:r>
        <w:t>LLMs</w:t>
      </w:r>
      <w:proofErr w:type="spellEnd"/>
      <w:r>
        <w:t xml:space="preserve"> de última generación emerge como una alternativa prometedora para reducir esta dependencia, con resultados competitivos en </w:t>
      </w:r>
      <w:proofErr w:type="spellStart"/>
      <w:r>
        <w:t>benchmarks</w:t>
      </w:r>
      <w:proofErr w:type="spellEnd"/>
      <w:r>
        <w:t xml:space="preserve"> públicos. Sin embargo, la variabilidad de las respuestas, el coste por token y la dificultad de controlar el formato de salida son retos prácticos que deben ser abordados mediante un diseño cuidadoso del sistema de </w:t>
      </w:r>
      <w:proofErr w:type="spellStart"/>
      <w:r>
        <w:t>prompting</w:t>
      </w:r>
      <w:proofErr w:type="spellEnd"/>
      <w:r>
        <w:t xml:space="preserve">. Este es el punto de partida del presente trabajo: explorar en qué medida esta aproximación es viable en un </w:t>
      </w:r>
      <w:proofErr w:type="spellStart"/>
      <w:r>
        <w:t>dataset</w:t>
      </w:r>
      <w:proofErr w:type="spellEnd"/>
      <w:r>
        <w:t xml:space="preserve"> de referencia como ISEAR, comparando tres familias de </w:t>
      </w:r>
      <w:proofErr w:type="spellStart"/>
      <w:r>
        <w:t>LLMs</w:t>
      </w:r>
      <w:proofErr w:type="spellEnd"/>
      <w:r>
        <w:t xml:space="preserve"> bajo condiciones controladas.</w:t>
      </w:r>
    </w:p>
    <w:sectPr w:rsidR="00315E0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AA21D1"/>
    <w:multiLevelType w:val="hybridMultilevel"/>
    <w:tmpl w:val="EE166D2A"/>
    <w:lvl w:ilvl="0" w:tplc="7292E7DA">
      <w:start w:val="1"/>
      <w:numFmt w:val="bullet"/>
      <w:lvlText w:val="•"/>
      <w:lvlJc w:val="left"/>
      <w:pPr>
        <w:ind w:left="720" w:hanging="360"/>
      </w:pPr>
    </w:lvl>
    <w:lvl w:ilvl="1" w:tplc="3308179E">
      <w:numFmt w:val="decimal"/>
      <w:lvlText w:val=""/>
      <w:lvlJc w:val="left"/>
    </w:lvl>
    <w:lvl w:ilvl="2" w:tplc="824AC3B6">
      <w:numFmt w:val="decimal"/>
      <w:lvlText w:val=""/>
      <w:lvlJc w:val="left"/>
    </w:lvl>
    <w:lvl w:ilvl="3" w:tplc="990E3AE4">
      <w:numFmt w:val="decimal"/>
      <w:lvlText w:val=""/>
      <w:lvlJc w:val="left"/>
    </w:lvl>
    <w:lvl w:ilvl="4" w:tplc="B54EF5F6">
      <w:numFmt w:val="decimal"/>
      <w:lvlText w:val=""/>
      <w:lvlJc w:val="left"/>
    </w:lvl>
    <w:lvl w:ilvl="5" w:tplc="81088E40">
      <w:numFmt w:val="decimal"/>
      <w:lvlText w:val=""/>
      <w:lvlJc w:val="left"/>
    </w:lvl>
    <w:lvl w:ilvl="6" w:tplc="AAD41B30">
      <w:numFmt w:val="decimal"/>
      <w:lvlText w:val=""/>
      <w:lvlJc w:val="left"/>
    </w:lvl>
    <w:lvl w:ilvl="7" w:tplc="5C2A519C">
      <w:numFmt w:val="decimal"/>
      <w:lvlText w:val=""/>
      <w:lvlJc w:val="left"/>
    </w:lvl>
    <w:lvl w:ilvl="8" w:tplc="4426F768">
      <w:numFmt w:val="decimal"/>
      <w:lvlText w:val=""/>
      <w:lvlJc w:val="left"/>
    </w:lvl>
  </w:abstractNum>
  <w:abstractNum w:abstractNumId="1" w15:restartNumberingAfterBreak="0">
    <w:nsid w:val="66F05828"/>
    <w:multiLevelType w:val="hybridMultilevel"/>
    <w:tmpl w:val="E61080FC"/>
    <w:lvl w:ilvl="0" w:tplc="A5BEE56C">
      <w:start w:val="1"/>
      <w:numFmt w:val="bullet"/>
      <w:lvlText w:val="●"/>
      <w:lvlJc w:val="left"/>
      <w:pPr>
        <w:ind w:left="720" w:hanging="360"/>
      </w:pPr>
    </w:lvl>
    <w:lvl w:ilvl="1" w:tplc="0C325D98">
      <w:start w:val="1"/>
      <w:numFmt w:val="bullet"/>
      <w:lvlText w:val="○"/>
      <w:lvlJc w:val="left"/>
      <w:pPr>
        <w:ind w:left="1440" w:hanging="360"/>
      </w:pPr>
    </w:lvl>
    <w:lvl w:ilvl="2" w:tplc="26D89F28">
      <w:start w:val="1"/>
      <w:numFmt w:val="bullet"/>
      <w:lvlText w:val="■"/>
      <w:lvlJc w:val="left"/>
      <w:pPr>
        <w:ind w:left="2160" w:hanging="360"/>
      </w:pPr>
    </w:lvl>
    <w:lvl w:ilvl="3" w:tplc="6714EE02">
      <w:start w:val="1"/>
      <w:numFmt w:val="bullet"/>
      <w:lvlText w:val="●"/>
      <w:lvlJc w:val="left"/>
      <w:pPr>
        <w:ind w:left="2880" w:hanging="360"/>
      </w:pPr>
    </w:lvl>
    <w:lvl w:ilvl="4" w:tplc="5270E7E6">
      <w:start w:val="1"/>
      <w:numFmt w:val="bullet"/>
      <w:lvlText w:val="○"/>
      <w:lvlJc w:val="left"/>
      <w:pPr>
        <w:ind w:left="3600" w:hanging="360"/>
      </w:pPr>
    </w:lvl>
    <w:lvl w:ilvl="5" w:tplc="EEB40672">
      <w:start w:val="1"/>
      <w:numFmt w:val="bullet"/>
      <w:lvlText w:val="■"/>
      <w:lvlJc w:val="left"/>
      <w:pPr>
        <w:ind w:left="4320" w:hanging="360"/>
      </w:pPr>
    </w:lvl>
    <w:lvl w:ilvl="6" w:tplc="9BA6C4CA">
      <w:start w:val="1"/>
      <w:numFmt w:val="bullet"/>
      <w:lvlText w:val="●"/>
      <w:lvlJc w:val="left"/>
      <w:pPr>
        <w:ind w:left="5040" w:hanging="360"/>
      </w:pPr>
    </w:lvl>
    <w:lvl w:ilvl="7" w:tplc="036210EC">
      <w:start w:val="1"/>
      <w:numFmt w:val="bullet"/>
      <w:lvlText w:val="●"/>
      <w:lvlJc w:val="left"/>
      <w:pPr>
        <w:ind w:left="5760" w:hanging="360"/>
      </w:pPr>
    </w:lvl>
    <w:lvl w:ilvl="8" w:tplc="8F82DE34">
      <w:start w:val="1"/>
      <w:numFmt w:val="bullet"/>
      <w:lvlText w:val="●"/>
      <w:lvlJc w:val="left"/>
      <w:pPr>
        <w:ind w:left="6480" w:hanging="360"/>
      </w:pPr>
    </w:lvl>
  </w:abstractNum>
  <w:num w:numId="1" w16cid:durableId="7072169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E0A"/>
    <w:rsid w:val="00137354"/>
    <w:rsid w:val="00315E0A"/>
    <w:rsid w:val="00AA72E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AFD90"/>
  <w15:docId w15:val="{1F0A4CC6-2B10-4752-B79C-796EA62BC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160"/>
      <w:outlineLvl w:val="0"/>
    </w:pPr>
    <w:rPr>
      <w:b/>
      <w:bCs/>
      <w:color w:val="1F4E79"/>
      <w:sz w:val="28"/>
      <w:szCs w:val="28"/>
    </w:rPr>
  </w:style>
  <w:style w:type="paragraph" w:styleId="Ttulo2">
    <w:name w:val="heading 2"/>
    <w:uiPriority w:val="9"/>
    <w:unhideWhenUsed/>
    <w:qFormat/>
    <w:pPr>
      <w:spacing w:before="280" w:after="120"/>
      <w:outlineLvl w:val="1"/>
    </w:pPr>
    <w:rPr>
      <w:b/>
      <w:bCs/>
      <w:color w:val="2E75B6"/>
      <w:sz w:val="24"/>
      <w:szCs w:val="24"/>
    </w:rPr>
  </w:style>
  <w:style w:type="paragraph" w:styleId="Ttulo3">
    <w:name w:val="heading 3"/>
    <w:uiPriority w:val="9"/>
    <w:unhideWhenUsed/>
    <w:qFormat/>
    <w:pPr>
      <w:spacing w:before="200" w:after="80"/>
      <w:outlineLvl w:val="2"/>
    </w:pPr>
    <w:rPr>
      <w:b/>
      <w:bCs/>
      <w:color w:val="44444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arxiv.org/abs/2104.02041" TargetMode="External"/><Relationship Id="rId18" Type="http://schemas.openxmlformats.org/officeDocument/2006/relationships/hyperlink" Target="https://arxiv.org/abs/2601.18162" TargetMode="External"/><Relationship Id="rId26" Type="http://schemas.openxmlformats.org/officeDocument/2006/relationships/hyperlink" Target="https://arxiv.org/abs/2402.07927" TargetMode="External"/><Relationship Id="rId3" Type="http://schemas.openxmlformats.org/officeDocument/2006/relationships/settings" Target="settings.xml"/><Relationship Id="rId21" Type="http://schemas.openxmlformats.org/officeDocument/2006/relationships/hyperlink" Target="https://arxiv.org/abs/2502.03688" TargetMode="External"/><Relationship Id="rId7" Type="http://schemas.openxmlformats.org/officeDocument/2006/relationships/hyperlink" Target="https://link.springer.com/article/10.1007/s11704-025-50472-3" TargetMode="External"/><Relationship Id="rId12" Type="http://schemas.openxmlformats.org/officeDocument/2006/relationships/hyperlink" Target="https://arxiv.org/abs/2212.09465" TargetMode="External"/><Relationship Id="rId17" Type="http://schemas.openxmlformats.org/officeDocument/2006/relationships/hyperlink" Target="https://arxiv.org/abs/2005.00547" TargetMode="External"/><Relationship Id="rId25" Type="http://schemas.openxmlformats.org/officeDocument/2006/relationships/hyperlink" Target="https://arxiv.org/abs/2503.04783"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arxiv.org/abs/2603.20222" TargetMode="External"/><Relationship Id="rId20" Type="http://schemas.openxmlformats.org/officeDocument/2006/relationships/hyperlink" Target="https://arxiv.org/abs/2303.18223" TargetMode="External"/><Relationship Id="rId29" Type="http://schemas.openxmlformats.org/officeDocument/2006/relationships/hyperlink" Target="https://arxiv.org/abs/2505.18040" TargetMode="External"/><Relationship Id="rId1" Type="http://schemas.openxmlformats.org/officeDocument/2006/relationships/numbering" Target="numbering.xml"/><Relationship Id="rId6" Type="http://schemas.openxmlformats.org/officeDocument/2006/relationships/hyperlink" Target="https://arxiv.org/abs/2209.00099" TargetMode="External"/><Relationship Id="rId11" Type="http://schemas.openxmlformats.org/officeDocument/2006/relationships/hyperlink" Target="https://jds-online.org/journal/JDS/article/1441/info" TargetMode="External"/><Relationship Id="rId24" Type="http://schemas.openxmlformats.org/officeDocument/2006/relationships/hyperlink" Target="https://arxiv.org/abs/2501.12948" TargetMode="External"/><Relationship Id="rId32" Type="http://schemas.openxmlformats.org/officeDocument/2006/relationships/fontTable" Target="fontTable.xml"/><Relationship Id="rId5" Type="http://schemas.openxmlformats.org/officeDocument/2006/relationships/hyperlink" Target="https://arxiv.org/abs/2111.01243" TargetMode="External"/><Relationship Id="rId15" Type="http://schemas.openxmlformats.org/officeDocument/2006/relationships/hyperlink" Target="https://arxiv.org/abs/2212.09465" TargetMode="External"/><Relationship Id="rId23" Type="http://schemas.openxmlformats.org/officeDocument/2006/relationships/hyperlink" Target="https://arxiv.org/abs/2403.05530" TargetMode="External"/><Relationship Id="rId28" Type="http://schemas.openxmlformats.org/officeDocument/2006/relationships/hyperlink" Target="https://ghost.oxen.ai/the-prompt-report-part-1-a-systematic-survey-of-prompting-techniques" TargetMode="External"/><Relationship Id="rId10" Type="http://schemas.openxmlformats.org/officeDocument/2006/relationships/hyperlink" Target="https://link.springer.com/chapter/10.1007/978-981-96-0426-5_1" TargetMode="External"/><Relationship Id="rId19" Type="http://schemas.openxmlformats.org/officeDocument/2006/relationships/hyperlink" Target="https://arxiv.org/abs/2512.13363" TargetMode="External"/><Relationship Id="rId31" Type="http://schemas.openxmlformats.org/officeDocument/2006/relationships/hyperlink" Target="https://arxiv.org/abs/2602.06692" TargetMode="External"/><Relationship Id="rId4" Type="http://schemas.openxmlformats.org/officeDocument/2006/relationships/webSettings" Target="webSettings.xml"/><Relationship Id="rId9" Type="http://schemas.openxmlformats.org/officeDocument/2006/relationships/hyperlink" Target="https://doi.org/10.1007/s13278-021-00776-6" TargetMode="External"/><Relationship Id="rId14" Type="http://schemas.openxmlformats.org/officeDocument/2006/relationships/hyperlink" Target="https://arxiv.org/abs/2104.02041" TargetMode="External"/><Relationship Id="rId22" Type="http://schemas.openxmlformats.org/officeDocument/2006/relationships/hyperlink" Target="https://arxiv.org/abs/2601.08302" TargetMode="External"/><Relationship Id="rId27" Type="http://schemas.openxmlformats.org/officeDocument/2006/relationships/hyperlink" Target="https://arxiv.org/abs/2601.08302" TargetMode="External"/><Relationship Id="rId30" Type="http://schemas.openxmlformats.org/officeDocument/2006/relationships/hyperlink" Target="https://arxiv.org/abs/2502.03688" TargetMode="External"/><Relationship Id="rId8" Type="http://schemas.openxmlformats.org/officeDocument/2006/relationships/hyperlink" Target="https://doi.org/10.1007/s00521-023-08941-y"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13</Pages>
  <Words>6000</Words>
  <Characters>33006</Characters>
  <Application>Microsoft Office Word</Application>
  <DocSecurity>0</DocSecurity>
  <Lines>275</Lines>
  <Paragraphs>77</Paragraphs>
  <ScaleCrop>false</ScaleCrop>
  <Company/>
  <LinksUpToDate>false</LinksUpToDate>
  <CharactersWithSpaces>38929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Victor Gonzalez</cp:lastModifiedBy>
  <cp:revision>2</cp:revision>
  <dcterms:created xsi:type="dcterms:W3CDTF">2026-05-20T16:35:00Z</dcterms:created>
  <dcterms:modified xsi:type="dcterms:W3CDTF">2026-05-23T16:59:00Z</dcterms:modified>
</cp:coreProperties>
</file>