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3D43AB">
      <w:pPr>
        <w:spacing w:line="0" w:lineRule="atLeast"/>
        <w:jc w:val="both"/>
        <w:rPr>
          <w:rFonts w:ascii="Arial" w:hAnsi="Arial" w:eastAsia="Arial Unicode MS" w:cs="Arial"/>
          <w:b/>
          <w:sz w:val="22"/>
          <w:szCs w:val="22"/>
        </w:rPr>
      </w:pPr>
      <w:r>
        <w:rPr>
          <w:rFonts w:ascii="Arial" w:hAnsi="Arial" w:eastAsia="Arial Unicode MS" w:cs="Arial"/>
          <w:b/>
          <w:bCs/>
          <w:color w:val="000000"/>
          <w:sz w:val="22"/>
          <w:szCs w:val="22"/>
          <w:lang w:bidi="ar"/>
        </w:rPr>
        <w:t xml:space="preserve">C.3. Aim 3: Developing </w:t>
      </w:r>
      <w:r>
        <w:rPr>
          <w:rFonts w:ascii="Arial" w:hAnsi="Arial" w:eastAsia="Arial Unicode MS" w:cs="Arial"/>
          <w:b/>
          <w:sz w:val="22"/>
          <w:szCs w:val="22"/>
        </w:rPr>
        <w:t>a biological-informed token pruning method to accelerate training.</w:t>
      </w:r>
    </w:p>
    <w:p w14:paraId="0959D802">
      <w:pPr>
        <w:spacing w:line="0" w:lineRule="atLeast"/>
        <w:jc w:val="both"/>
        <w:rPr>
          <w:rFonts w:ascii="Arial" w:hAnsi="Arial" w:eastAsia="Arial Unicode MS" w:cs="Arial"/>
          <w:b/>
          <w:color w:val="000000"/>
          <w:sz w:val="22"/>
          <w:szCs w:val="22"/>
          <w:lang w:bidi="ar"/>
        </w:rPr>
      </w:pPr>
      <w:r>
        <w:rPr>
          <w:rFonts w:ascii="Arial" w:hAnsi="Arial" w:eastAsia="Arial Unicode MS" w:cs="Arial"/>
          <w:b/>
          <w:color w:val="000000"/>
          <w:sz w:val="22"/>
          <w:szCs w:val="22"/>
          <w:lang w:bidi="ar"/>
        </w:rPr>
        <w:drawing>
          <wp:anchor distT="0" distB="0" distL="114300" distR="114300" simplePos="0" relativeHeight="251659264" behindDoc="0" locked="0" layoutInCell="1" allowOverlap="1">
            <wp:simplePos x="0" y="0"/>
            <wp:positionH relativeFrom="column">
              <wp:posOffset>3039110</wp:posOffset>
            </wp:positionH>
            <wp:positionV relativeFrom="paragraph">
              <wp:posOffset>86995</wp:posOffset>
            </wp:positionV>
            <wp:extent cx="3596640" cy="1306830"/>
            <wp:effectExtent l="0" t="0" r="0" b="0"/>
            <wp:wrapSquare wrapText="bothSides"/>
            <wp:docPr id="1135365583" name="图片 13" descr="图片包含 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65583" name="图片 13" descr="图片包含 图形用户界面&#10;&#10;AI 生成的内容可能不正确。"/>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6400" cy="1306800"/>
                    </a:xfrm>
                    <a:prstGeom prst="rect">
                      <a:avLst/>
                    </a:prstGeom>
                  </pic:spPr>
                </pic:pic>
              </a:graphicData>
            </a:graphic>
          </wp:anchor>
        </w:drawing>
      </w:r>
      <w:r>
        <w:rPr>
          <w:rFonts w:ascii="Arial" w:hAnsi="Arial" w:eastAsia="Arial Unicode MS" w:cs="Arial"/>
          <w:b/>
          <w:sz w:val="22"/>
          <w:szCs w:val="22"/>
        </w:rPr>
        <w:t xml:space="preserve">C.3.1: </w:t>
      </w:r>
      <w:r>
        <w:rPr>
          <w:rFonts w:ascii="Arial" w:hAnsi="Arial" w:eastAsia="Arial Unicode MS" w:cs="Arial"/>
          <w:b/>
          <w:color w:val="000000"/>
          <w:sz w:val="22"/>
          <w:szCs w:val="22"/>
          <w:lang w:bidi="ar"/>
        </w:rPr>
        <w:t>Rationale</w:t>
      </w:r>
    </w:p>
    <w:p w14:paraId="65D618C9">
      <w:pPr>
        <w:spacing w:line="0" w:lineRule="atLeast"/>
        <w:jc w:val="both"/>
        <w:rPr>
          <w:rFonts w:ascii="Arial" w:hAnsi="Arial" w:eastAsia="Arial Unicode MS" w:cs="Arial"/>
          <w:bCs/>
          <w:sz w:val="22"/>
          <w:szCs w:val="22"/>
        </w:rPr>
      </w:pPr>
      <w:bookmarkStart w:id="4" w:name="_GoBack"/>
      <w:r>
        <mc:AlternateContent>
          <mc:Choice Requires="wps">
            <w:drawing>
              <wp:anchor distT="0" distB="0" distL="114300" distR="114300" simplePos="0" relativeHeight="251660288" behindDoc="0" locked="0" layoutInCell="1" allowOverlap="1">
                <wp:simplePos x="0" y="0"/>
                <wp:positionH relativeFrom="column">
                  <wp:posOffset>3082290</wp:posOffset>
                </wp:positionH>
                <wp:positionV relativeFrom="paragraph">
                  <wp:posOffset>1233805</wp:posOffset>
                </wp:positionV>
                <wp:extent cx="3626485" cy="635"/>
                <wp:effectExtent l="0" t="0" r="0" b="0"/>
                <wp:wrapSquare wrapText="bothSides"/>
                <wp:docPr id="1463534878" name="文本框 1"/>
                <wp:cNvGraphicFramePr/>
                <a:graphic xmlns:a="http://schemas.openxmlformats.org/drawingml/2006/main">
                  <a:graphicData uri="http://schemas.microsoft.com/office/word/2010/wordprocessingShape">
                    <wps:wsp>
                      <wps:cNvSpPr txBox="1"/>
                      <wps:spPr>
                        <a:xfrm>
                          <a:off x="0" y="0"/>
                          <a:ext cx="3626485" cy="635"/>
                        </a:xfrm>
                        <a:prstGeom prst="rect">
                          <a:avLst/>
                        </a:prstGeom>
                        <a:solidFill>
                          <a:prstClr val="white"/>
                        </a:solidFill>
                        <a:ln>
                          <a:noFill/>
                        </a:ln>
                      </wps:spPr>
                      <wps:txbx>
                        <w:txbxContent>
                          <w:p w14:paraId="73C7DD18">
                            <w:pPr>
                              <w:pStyle w:val="2"/>
                              <w:rPr>
                                <w:rFonts w:ascii="Arial" w:hAnsi="Arial" w:cs="Arial"/>
                                <w:i/>
                                <w:iCs/>
                                <w:sz w:val="18"/>
                                <w:szCs w:val="18"/>
                              </w:rPr>
                            </w:pPr>
                            <w:r>
                              <w:rPr>
                                <w:rFonts w:ascii="Arial" w:hAnsi="Arial" w:cs="Arial"/>
                                <w:i/>
                                <w:iCs/>
                                <w:sz w:val="18"/>
                                <w:szCs w:val="18"/>
                              </w:rPr>
                              <w:t>Figure 8. A snapshot of biological-informed token pruning.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42.7pt;margin-top:97.15pt;height:0.05pt;width:285.55pt;mso-wrap-distance-bottom:0pt;mso-wrap-distance-left:9pt;mso-wrap-distance-right:9pt;mso-wrap-distance-top:0pt;z-index:251660288;mso-width-relative:page;mso-height-relative:page;" fillcolor="#FFFFFF" filled="t" stroked="f" coordsize="21600,21600" o:gfxdata="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H+r5jaAAAADAEAAA8AAAAAAAAAAQAgAAAA&#10;IgAAAGRycy9kb3ducmV2LnhtbFBLAQIUABQAAAAIAIdO4kBUg4H3QgIAAHsEAAAOAAAAAAAAAAEA&#10;IAAAACkBAABkcnMvZTJvRG9jLnhtbFBLBQYAAAAABgAGAFkBAADdBQAAAAA=&#10;">
                <v:fill on="t" focussize="0,0"/>
                <v:stroke on="f"/>
                <v:imagedata o:title=""/>
                <o:lock v:ext="edit" aspectratio="f"/>
                <v:textbox inset="0mm,0mm,0mm,0mm" style="mso-fit-shape-to-text:t;">
                  <w:txbxContent>
                    <w:p w14:paraId="73C7DD18">
                      <w:pPr>
                        <w:pStyle w:val="2"/>
                        <w:rPr>
                          <w:rFonts w:ascii="Arial" w:hAnsi="Arial" w:cs="Arial"/>
                          <w:i/>
                          <w:iCs/>
                          <w:sz w:val="18"/>
                          <w:szCs w:val="18"/>
                        </w:rPr>
                      </w:pPr>
                      <w:r>
                        <w:rPr>
                          <w:rFonts w:ascii="Arial" w:hAnsi="Arial" w:cs="Arial"/>
                          <w:i/>
                          <w:iCs/>
                          <w:sz w:val="18"/>
                          <w:szCs w:val="18"/>
                        </w:rPr>
                        <w:t>Figure 8. A snapshot of biological-informed token pruning.</w:t>
                      </w:r>
                    </w:p>
                  </w:txbxContent>
                </v:textbox>
                <w10:wrap type="square"/>
              </v:shape>
            </w:pict>
          </mc:Fallback>
        </mc:AlternateContent>
      </w:r>
      <w:bookmarkEnd w:id="4"/>
      <w:r>
        <w:rPr>
          <w:rFonts w:ascii="Arial" w:hAnsi="Arial" w:eastAsia="Arial Unicode MS" w:cs="Arial"/>
          <w:bCs/>
          <w:sz w:val="22"/>
          <w:szCs w:val="22"/>
        </w:rPr>
        <w:t xml:space="preserve">Biological data underpins our understanding of genomic function, yet much of the genome can be considered “noise” from a regulatory standpoint. Researchers commonly define enhancers by the presence of </w:t>
      </w:r>
      <w:bookmarkStart w:id="0" w:name="_Hlk192943531"/>
      <w:r>
        <w:rPr>
          <w:rFonts w:ascii="Arial" w:hAnsi="Arial" w:eastAsia="Arial Unicode MS" w:cs="Arial"/>
          <w:bCs/>
          <w:sz w:val="22"/>
          <w:szCs w:val="22"/>
        </w:rPr>
        <w:t>histone modifications</w:t>
      </w:r>
      <w:bookmarkEnd w:id="0"/>
      <w:r>
        <w:rPr>
          <w:rFonts w:ascii="Arial" w:hAnsi="Arial" w:eastAsia="Arial Unicode MS" w:cs="Arial"/>
          <w:bCs/>
          <w:sz w:val="22"/>
          <w:szCs w:val="22"/>
        </w:rPr>
        <w:t xml:space="preserve"> such as H3K4me1 and H3K27ac, and promoters by H3K4me3</w:t>
      </w:r>
      <w:r>
        <w:rPr>
          <w:rFonts w:ascii="Arial" w:hAnsi="Arial" w:eastAsia="Arial Unicode MS" w:cs="Arial"/>
          <w:bCs/>
          <w:sz w:val="22"/>
          <w:szCs w:val="22"/>
        </w:rPr>
        <w:fldChar w:fldCharType="begin"/>
      </w:r>
      <w:r>
        <w:rPr>
          <w:rFonts w:ascii="Arial" w:hAnsi="Arial" w:eastAsia="Arial Unicode MS" w:cs="Arial"/>
          <w:bCs/>
          <w:sz w:val="22"/>
          <w:szCs w:val="22"/>
        </w:rPr>
        <w:instrText xml:space="preserve"> ADDIN ZOTERO_ITEM CSL_CITATION {"citationID":"8NPf85Dp","properties":{"formattedCitation":"\\super 51\\nosupersub{}","plainCitation":"51","noteIndex":0},"citationItems":[{"id":2685,"uris":["http://zotero.org/users/13012598/items/CG5PG7VP"],"itemData":{"id":2685,"type":"article-journal","container-title":"Current Biology","DOI":"10.1016/j.cub.2004.07.007","ISSN":"0960-9822","issue":"14","journalAbbreviation":"Current Biology","language":"English","note":"publisher: Elsevier\nPMID: 15268870","page":"R546-R551","source":"www.cell.com","title":"Histones and histone modifications","volume":"14","author":[{"family":"Peterson","given":"Craig L."},{"family":"Laniel","given":"Marc-André"}],"issued":{"date-parts":[["2004",7,27]]}}}],"schema":"https://github.com/citation-style-language/schema/raw/master/csl-citation.json"} </w:instrText>
      </w:r>
      <w:r>
        <w:rPr>
          <w:rFonts w:ascii="Arial" w:hAnsi="Arial" w:eastAsia="Arial Unicode MS" w:cs="Arial"/>
          <w:bCs/>
          <w:sz w:val="22"/>
          <w:szCs w:val="22"/>
        </w:rPr>
        <w:fldChar w:fldCharType="separate"/>
      </w:r>
      <w:r>
        <w:rPr>
          <w:rFonts w:ascii="Arial" w:hAnsi="Arial" w:cs="Arial"/>
          <w:sz w:val="22"/>
          <w:vertAlign w:val="superscript"/>
        </w:rPr>
        <w:t>51</w:t>
      </w:r>
      <w:r>
        <w:rPr>
          <w:rFonts w:ascii="Arial" w:hAnsi="Arial" w:eastAsia="Arial Unicode MS" w:cs="Arial"/>
          <w:bCs/>
          <w:sz w:val="22"/>
          <w:szCs w:val="22"/>
        </w:rPr>
        <w:fldChar w:fldCharType="end"/>
      </w:r>
      <w:r>
        <w:rPr>
          <w:rFonts w:ascii="Arial" w:hAnsi="Arial" w:eastAsia="Arial Unicode MS" w:cs="Arial"/>
          <w:bCs/>
          <w:sz w:val="22"/>
          <w:szCs w:val="22"/>
        </w:rPr>
        <w:t>. Crucially, the sequences that matter most for gene regulation are often concentrated within these marked regions. However, standard modeling approaches tend to feed entire genomic segments into the model, forcing it to expend considerable capacity on filtering out uninformative regions.</w:t>
      </w:r>
    </w:p>
    <w:p w14:paraId="5BC89E76">
      <w:pPr>
        <w:spacing w:line="0" w:lineRule="atLeast"/>
        <w:ind w:firstLine="420"/>
        <w:jc w:val="both"/>
        <w:rPr>
          <w:rFonts w:ascii="Arial" w:hAnsi="Arial" w:eastAsia="Arial Unicode MS" w:cs="Arial"/>
          <w:bCs/>
          <w:sz w:val="22"/>
          <w:szCs w:val="22"/>
        </w:rPr>
      </w:pPr>
      <w:r>
        <w:rPr>
          <w:rFonts w:ascii="Arial" w:hAnsi="Arial" w:eastAsia="Arial Unicode MS" w:cs="Arial"/>
          <w:bCs/>
          <w:sz w:val="22"/>
          <w:szCs w:val="22"/>
        </w:rPr>
        <w:t>To address this inefficiency, we can leverage histone mark signals and other regulatory annotations for causal inference, pinpointing the genuinely important regions</w:t>
      </w:r>
      <w:r>
        <w:rPr>
          <w:rFonts w:ascii="Arial" w:hAnsi="Arial" w:eastAsia="Arial Unicode MS" w:cs="Arial"/>
          <w:bCs/>
          <w:sz w:val="22"/>
          <w:szCs w:val="22"/>
        </w:rPr>
        <w:fldChar w:fldCharType="begin"/>
      </w:r>
      <w:r>
        <w:rPr>
          <w:rFonts w:ascii="Arial" w:hAnsi="Arial" w:eastAsia="Arial Unicode MS" w:cs="Arial"/>
          <w:bCs/>
          <w:sz w:val="22"/>
          <w:szCs w:val="22"/>
        </w:rPr>
        <w:instrText xml:space="preserve"> ADDIN ZOTERO_ITEM CSL_CITATION {"citationID":"GYrcXzm7","properties":{"formattedCitation":"\\super 52\\nosupersub{}","plainCitation":"52","noteIndex":0},"citationItems":[{"id":1861,"uris":["http://zotero.org/users/13012598/items/D5YUG462"],"itemData":{"id":1861,"type":"article","abstract":"Transcriptional regulation, critical for cellular differentiation and adaptation to environmental changes, involves coordinated interactions among DNA sequences, regulatory proteins, and chromatin architecture. Despite extensive data from consortia like ENCODE, understanding the dynamics of cis-regulatory elements (CREs) in gene expression remains challenging. Deep learning is a powerful tool for learning gene expression and epigenomic signals from DNA sequences, exhibiting superior performance compared to conventional machine learning approaches. However, even the most advanced deep learning-based methods may fall short in capturing the regulatory effects of distal elements such as enhancers, limiting their predictive accuracy. In addition, these methods may require significant resources to train or to adapt to newly generated data. To address these challenges, we present EPInformer, a scalable deep-learning framework for predicting gene expression by integrating promoter-enhancer interactions with their sequences, epigenomic signals, and chromatin contacts. Our model outperforms existing gene expression prediction models in rigorous cross-chromosome validation, accurately recapitulates enhancer-gene interactions validated by CRISPR perturbation experiments, and identifies crucial transcription factor motifs within regulatory sequences. EPInformer is available as open-source software at https://github.com/pinellolab/EPInformer.","DOI":"10.1101/2024.08.01.606099","language":"en","license":"© 2024, Posted by Cold Spring Harbor Laboratory. This pre-print is available under a Creative Commons License (Attribution-NonCommercial 4.0 International), CC BY-NC 4.0, as described at http://creativecommons.org/licenses/by-nc/4.0/","note":"page: 2024.08.01.606099\nsection: New Results","publisher":"bioRxiv","source":"bioRxiv","title":"EPInformer: a scalable deep learning framework for gene expression prediction by integrating promoter-enhancer sequences with multimodal epigenomic data","title-short":"EPInformer","URL":"https://www.biorxiv.org/content/10.1101/2024.08.01.606099v1","author":[{"family":"Lin","given":"Jiecong"},{"family":"Luo","given":"Ruibang"},{"family":"Pinello","given":"Luca"}],"accessed":{"date-parts":[["2024",8,19]]},"issued":{"date-parts":[["2024",8,1]]}}}],"schema":"https://github.com/citation-style-language/schema/raw/master/csl-citation.json"} </w:instrText>
      </w:r>
      <w:r>
        <w:rPr>
          <w:rFonts w:ascii="Arial" w:hAnsi="Arial" w:eastAsia="Arial Unicode MS" w:cs="Arial"/>
          <w:bCs/>
          <w:sz w:val="22"/>
          <w:szCs w:val="22"/>
        </w:rPr>
        <w:fldChar w:fldCharType="separate"/>
      </w:r>
      <w:r>
        <w:rPr>
          <w:rFonts w:ascii="Arial" w:hAnsi="Arial" w:cs="Arial"/>
          <w:sz w:val="22"/>
          <w:vertAlign w:val="superscript"/>
        </w:rPr>
        <w:t>52</w:t>
      </w:r>
      <w:r>
        <w:rPr>
          <w:rFonts w:ascii="Arial" w:hAnsi="Arial" w:eastAsia="Arial Unicode MS" w:cs="Arial"/>
          <w:bCs/>
          <w:sz w:val="22"/>
          <w:szCs w:val="22"/>
        </w:rPr>
        <w:fldChar w:fldCharType="end"/>
      </w:r>
      <w:r>
        <w:rPr>
          <w:rFonts w:ascii="Arial" w:hAnsi="Arial" w:eastAsia="Arial Unicode MS" w:cs="Arial"/>
          <w:bCs/>
          <w:sz w:val="22"/>
          <w:szCs w:val="22"/>
        </w:rPr>
        <w:t>. By restricting our input to these high-confidence regulatory elements, we minimize noise and reduce the computation burden on the model. This strategy not only streamlines computation but also enhances interpretability, as the model is then focused on the most biologically relevant sequences for downstream tasks.</w:t>
      </w:r>
    </w:p>
    <w:p w14:paraId="56C072E2">
      <w:pPr>
        <w:spacing w:line="0" w:lineRule="atLeast"/>
        <w:jc w:val="both"/>
        <w:rPr>
          <w:rFonts w:ascii="Arial" w:hAnsi="Arial" w:eastAsia="Arial Unicode MS" w:cs="Arial"/>
          <w:sz w:val="22"/>
          <w:szCs w:val="22"/>
        </w:rPr>
      </w:pPr>
      <w:r>
        <w:rPr>
          <w:rFonts w:ascii="Arial" w:hAnsi="Arial" w:eastAsia="Arial Unicode MS" w:cs="Arial"/>
          <w:b/>
          <w:bCs/>
          <w:color w:val="000000"/>
          <w:sz w:val="22"/>
          <w:szCs w:val="22"/>
          <w:lang w:bidi="ar"/>
        </w:rPr>
        <w:t>C.3.2: Research Plan</w:t>
      </w:r>
    </w:p>
    <w:p w14:paraId="30041DBF">
      <w:pPr>
        <w:spacing w:line="0" w:lineRule="atLeast"/>
        <w:jc w:val="both"/>
        <w:rPr>
          <w:rFonts w:ascii="Arial" w:hAnsi="Arial" w:eastAsia="Arial Unicode MS" w:cs="Arial"/>
          <w:b/>
          <w:bCs/>
          <w:color w:val="000000"/>
          <w:sz w:val="22"/>
          <w:szCs w:val="22"/>
          <w:lang w:bidi="ar"/>
        </w:rPr>
      </w:pPr>
      <w:r>
        <w:rPr>
          <w:rFonts w:ascii="Arial" w:hAnsi="Arial" w:eastAsia="Arial Unicode MS" w:cs="Arial"/>
          <w:b/>
          <w:bCs/>
          <w:color w:val="000000"/>
          <w:sz w:val="22"/>
          <w:szCs w:val="22"/>
          <w:lang w:bidi="ar"/>
        </w:rPr>
        <w:t>C.3.2.1: Preliminary Data</w:t>
      </w:r>
    </w:p>
    <w:p w14:paraId="4ECB5D86">
      <w:pPr>
        <w:spacing w:line="0" w:lineRule="atLeast"/>
        <w:jc w:val="both"/>
        <w:rPr>
          <w:rFonts w:ascii="Arial" w:hAnsi="Arial" w:eastAsia="Arial Unicode MS" w:cs="Arial"/>
          <w:color w:val="000000"/>
          <w:sz w:val="22"/>
          <w:szCs w:val="22"/>
          <w:lang w:bidi="ar"/>
        </w:rPr>
      </w:pPr>
      <w:r>
        <w:rPr>
          <w:rFonts w:ascii="Arial" w:hAnsi="Arial" w:eastAsia="Arial Unicode MS" w:cs="Arial"/>
          <w:color w:val="000000"/>
          <w:sz w:val="22"/>
          <w:szCs w:val="22"/>
          <w:lang w:bidi="ar"/>
        </w:rPr>
        <w:t>To simplify the experimental setup, we begin by selecting a biologically relevant dataset aimed at predicting gene expression levels</w:t>
      </w:r>
      <w:r>
        <w:rPr>
          <w:rFonts w:ascii="Arial" w:hAnsi="Arial" w:eastAsia="Arial Unicode MS" w:cs="Arial"/>
          <w:color w:val="000000"/>
          <w:sz w:val="22"/>
          <w:szCs w:val="22"/>
          <w:lang w:bidi="ar"/>
        </w:rPr>
        <w:fldChar w:fldCharType="begin"/>
      </w:r>
      <w:r>
        <w:rPr>
          <w:rFonts w:ascii="Arial" w:hAnsi="Arial" w:eastAsia="Arial Unicode MS" w:cs="Arial"/>
          <w:color w:val="000000"/>
          <w:sz w:val="22"/>
          <w:szCs w:val="22"/>
          <w:lang w:bidi="ar"/>
        </w:rPr>
        <w:instrText xml:space="preserve"> ADDIN ZOTERO_ITEM CSL_CITATION {"citationID":"972oDMoR","properties":{"formattedCitation":"\\super 53\\nosupersub{}","plainCitation":"53","noteIndex":0},"citationItems":[{"id":1952,"uris":["http://zotero.org/users/13012598/items/DUBE4QBR"],"itemData":{"id":1952,"type":"article","abstract":"One of the major challenges in genomics is to build computational models that accurately predict genome-wide gene expression from the sequences of regulatory elements. At the heart of gene regulation are promoters, yet</w:instrText>
      </w:r>
      <w:r>
        <w:rPr>
          <w:rFonts w:hint="eastAsia" w:ascii="Arial" w:hAnsi="Arial" w:eastAsia="Arial Unicode MS" w:cs="Arial"/>
          <w:color w:val="000000"/>
          <w:sz w:val="22"/>
          <w:szCs w:val="22"/>
          <w:lang w:bidi="ar"/>
        </w:rPr>
        <w:instrText xml:space="preserve"> their regulatory logic is still incompletely understood. Here, we report PARM, a cell-type specific deep learning model trained on specially designed massively parallel reporter assays that query human promoter sequences. PARM requires ∼1,000 times less </w:instrText>
      </w:r>
      <w:r>
        <w:rPr>
          <w:rFonts w:ascii="Arial" w:hAnsi="Arial" w:eastAsia="Arial Unicode MS" w:cs="Arial"/>
          <w:color w:val="000000"/>
          <w:sz w:val="22"/>
          <w:szCs w:val="22"/>
          <w:lang w:bidi="ar"/>
        </w:rPr>
        <w:instrText xml:space="preserve">computational power than state-of-the-art technology, and reliably predicts autonomous promoter activity throughout the genome from DNA sequence alone, in multiple cell types. PARM can even design purely synthetic strong promoters. We leveraged PARM to systematically identify binding sites of transcription factors (TFs) that are likely to contribute to the activity of each natural human promoter. We uncovered and experimentally confirmed striking positional preferences of TFs that differ between activating and repressive regulatory functions, as well as a complex grammar of motif-motif interactions. For example, many, but not all, TFs act as repressors when their binding motif is located near or just downstream of the transcription start site. Our approach lays the foundation towards a deep understanding of the regulation of human promoters by TFs.\nHighlightsCausality-trained deep learning model PARM captures regulatory grammar of human promotersPARM is highly economical, both experimentally and computationallyTranscription factors have different preferred positions for their regulatory activityMany (but not all) transcription factors act as repressors when binding downstream of transcription start sites","DOI":"10.1101/2024.07.09.602649","language":"en","license":"© 2024, Posted by Cold Spring Harbor Laboratory. This pre-print is available under a Creative Commons License (Attribution-NonCommercial-NoDerivs 4.0 International), CC BY-NC-ND 4.0, as described at http://creativecommons.org/licenses/by-nc-nd/4.0/","note":"page: 2024.07.09.602649\nsection: New Results","publisher":"bioRxiv","source":"bioRxiv","title":"The regulatory grammar of human promoters uncovered by MPRA-trained deep learning","URL":"https://www.biorxiv.org/content/10.1101/2024.07.09.602649v2","author":[{"family":"Barbadilla-Martínez","given":"Lucía"},{"family":"Klaassen","given":"Noud"},{"family":"Franceschini-Santos","given":"Vinícius H."},{"family":"Breda","given":"Jérémie"},{"family":"Hernandez-Quiles","given":"Miguel"},{"family":"Lieshout","given":"Tijs","dropping-particle":"van"},{"family":"Traslaviña","given":"Carlos G. Urzua"},{"family":"Yücel","given":"Hatice"},{"family":"Boi","given":"Minh Chau Luong"},{"family":"Hermana-Garcia-Agullo","given":"Celia"},{"family":"Gregoricchio","given":"Sebastian"},{"family":"Zwart","given":"Wilbert"},{"family":"Voest","given":"Emile"},{"family":"Franke","given":"Lude"},{"family":"Vermeulen","given":"Michiel"},{"family":"Ridder","given":"Jeroen","dropping-particle":"de"},{"family":"Steensel","given":"Bas","dropping-particle":"van"}],"accessed":{"date-parts":[["2024",8,28]]},"issued":{"date-parts":[["2024",7,15]]}}}],"schema":"https://github.com/citation-style-language/schema/raw/master/csl-citation.json"} </w:instrText>
      </w:r>
      <w:r>
        <w:rPr>
          <w:rFonts w:ascii="Arial" w:hAnsi="Arial" w:eastAsia="Arial Unicode MS" w:cs="Arial"/>
          <w:color w:val="000000"/>
          <w:sz w:val="22"/>
          <w:szCs w:val="22"/>
          <w:lang w:bidi="ar"/>
        </w:rPr>
        <w:fldChar w:fldCharType="separate"/>
      </w:r>
      <w:r>
        <w:rPr>
          <w:rFonts w:ascii="Arial" w:hAnsi="Arial" w:cs="Arial"/>
          <w:color w:val="000000"/>
          <w:sz w:val="22"/>
          <w:vertAlign w:val="superscript"/>
        </w:rPr>
        <w:t>53</w:t>
      </w:r>
      <w:r>
        <w:rPr>
          <w:rFonts w:ascii="Arial" w:hAnsi="Arial" w:eastAsia="Arial Unicode MS" w:cs="Arial"/>
          <w:color w:val="000000"/>
          <w:sz w:val="22"/>
          <w:szCs w:val="22"/>
          <w:lang w:bidi="ar"/>
        </w:rPr>
        <w:fldChar w:fldCharType="end"/>
      </w:r>
      <w:r>
        <w:rPr>
          <w:rFonts w:ascii="Arial" w:hAnsi="Arial" w:eastAsia="Arial Unicode MS" w:cs="Arial"/>
          <w:color w:val="000000"/>
          <w:sz w:val="22"/>
          <w:szCs w:val="22"/>
          <w:lang w:bidi="ar"/>
        </w:rPr>
        <w:t xml:space="preserve">. This choice reflects a common and impactful task in genomics, as understanding how sequence variants or regulatory elements influence gene expression is crucial for unraveling the mechanisms of gene regulation. By focusing on gene expression prediction, we can leverage existing chromosome accessibility like </w:t>
      </w:r>
      <w:bookmarkStart w:id="1" w:name="_Hlk192943577"/>
      <w:r>
        <w:rPr>
          <w:rFonts w:ascii="Arial" w:hAnsi="Arial" w:eastAsia="Arial Unicode MS" w:cs="Arial"/>
          <w:color w:val="000000"/>
          <w:sz w:val="22"/>
          <w:szCs w:val="22"/>
          <w:lang w:bidi="ar"/>
        </w:rPr>
        <w:t>ATAC</w:t>
      </w:r>
      <w:r>
        <w:rPr>
          <w:rFonts w:hint="eastAsia" w:ascii="Arial" w:hAnsi="Arial" w:eastAsia="Arial Unicode MS" w:cs="Arial"/>
          <w:color w:val="000000"/>
          <w:sz w:val="22"/>
          <w:szCs w:val="22"/>
          <w:lang w:bidi="ar"/>
        </w:rPr>
        <w:t>-seq</w:t>
      </w:r>
      <w:bookmarkEnd w:id="1"/>
      <w:r>
        <w:rPr>
          <w:rFonts w:ascii="Arial" w:hAnsi="Arial" w:eastAsia="Arial Unicode MS" w:cs="Arial"/>
          <w:color w:val="000000"/>
          <w:sz w:val="22"/>
          <w:szCs w:val="22"/>
          <w:lang w:bidi="ar"/>
        </w:rPr>
        <w:fldChar w:fldCharType="begin"/>
      </w:r>
      <w:r>
        <w:rPr>
          <w:rFonts w:ascii="Arial" w:hAnsi="Arial" w:eastAsia="Arial Unicode MS" w:cs="Arial"/>
          <w:color w:val="000000"/>
          <w:sz w:val="22"/>
          <w:szCs w:val="22"/>
          <w:lang w:bidi="ar"/>
        </w:rPr>
        <w:instrText xml:space="preserve"> ADDIN ZOTERO_ITEM CSL_CITATION {"citationID":"6rRE9BzQ","properties":{"formattedCitation":"\\super 54\\nosupersub{}","plainCitation":"54","noteIndex":0},"citationItems":[{"id":2688,"uris":["http://zotero.org/users/13012598/items/DZB8952H"],"itemData":{"id":2688,"type":"article-journal","abstract":"The assay for transposase-accessible chromatin using sequencing (ATAC-seq) provides a simple and scalable way to detect the unique chromatin landscape associated with a cell type and how it may be altered by perturbation or disease. ATAC-seq requires a relatively small number of input cells and does not require a priori knowledge of the epigenetic marks or transcription factors governing the dynamics of the system. Here we describe an updated and optimized protocol for ATAC-seq, called Omni-ATAC, that is applicable across a broad range of cell and tissue types. The ATAC-seq workflow has five main steps: sample preparation, transposition, library preparation, sequencing and data analysis. This protocol details the steps to generate and sequence ATAC-seq libraries, with recommendations for sample preparation and downstream bioinformatic analysis. ATAC-seq libraries for roughly 12 samples can be generated in 10 h by someone familiar with basic molecular biology, and downstream sequencing analysis can be implemented using benchmarked pipelines by someone with basic bioinformatics skills and with access to a high-performance computing environment.","container-title":"Nature Protocols","DOI":"10.1038/s41596-022-00692-9","ISSN":"1750-2799","issue":"6","journalAbbreviation":"Nat Protoc","language":"en","license":"2022 Springer Nature Limited","note":"publisher: Nature Publishing Group","page":"1518-1552","source":"www.nature.com","title":"Chromatin accessibility profiling by ATAC-seq","volume":"17","author":[{"family":"Grandi","given":"Fiorella C."},{"family":"Modi","given":"Hailey"},{"family":"Kampman","given":"Lucas"},{"family":"Corces","given":"M. Ryan"}],"issued":{"date-parts":[["2022",6]]}}}],"schema":"https://github.com/citation-style-language/schema/raw/master/csl-citation.json"} </w:instrText>
      </w:r>
      <w:r>
        <w:rPr>
          <w:rFonts w:ascii="Arial" w:hAnsi="Arial" w:eastAsia="Arial Unicode MS" w:cs="Arial"/>
          <w:color w:val="000000"/>
          <w:sz w:val="22"/>
          <w:szCs w:val="22"/>
          <w:lang w:bidi="ar"/>
        </w:rPr>
        <w:fldChar w:fldCharType="separate"/>
      </w:r>
      <w:r>
        <w:rPr>
          <w:rFonts w:ascii="Arial" w:hAnsi="Arial" w:cs="Arial"/>
          <w:color w:val="000000"/>
          <w:sz w:val="22"/>
          <w:vertAlign w:val="superscript"/>
        </w:rPr>
        <w:t>54</w:t>
      </w:r>
      <w:r>
        <w:rPr>
          <w:rFonts w:ascii="Arial" w:hAnsi="Arial" w:eastAsia="Arial Unicode MS" w:cs="Arial"/>
          <w:color w:val="000000"/>
          <w:sz w:val="22"/>
          <w:szCs w:val="22"/>
          <w:lang w:bidi="ar"/>
        </w:rPr>
        <w:fldChar w:fldCharType="end"/>
      </w:r>
      <w:r>
        <w:rPr>
          <w:rFonts w:ascii="Arial" w:hAnsi="Arial" w:eastAsia="Arial Unicode MS" w:cs="Arial"/>
          <w:color w:val="000000"/>
          <w:sz w:val="22"/>
          <w:szCs w:val="22"/>
          <w:lang w:bidi="ar"/>
        </w:rPr>
        <w:t xml:space="preserve"> data as our guide signal.</w:t>
      </w:r>
    </w:p>
    <w:p w14:paraId="7E89F637">
      <w:pPr>
        <w:spacing w:line="0" w:lineRule="atLeast"/>
        <w:jc w:val="both"/>
        <w:rPr>
          <w:rFonts w:ascii="Arial" w:hAnsi="Arial" w:eastAsia="Arial Unicode MS" w:cs="Arial"/>
          <w:b/>
          <w:bCs/>
          <w:color w:val="000000"/>
          <w:sz w:val="22"/>
          <w:szCs w:val="22"/>
          <w:lang w:bidi="ar"/>
        </w:rPr>
      </w:pPr>
      <w:r>
        <w:rPr>
          <w:rFonts w:ascii="Arial" w:hAnsi="Arial" w:eastAsia="Arial Unicode MS" w:cs="Arial"/>
          <w:b/>
          <w:bCs/>
          <w:color w:val="000000"/>
          <w:sz w:val="22"/>
          <w:szCs w:val="22"/>
          <w:lang w:bidi="ar"/>
        </w:rPr>
        <w:t>C.3.2.2: Naïve Approach to Masking Tokens</w:t>
      </w:r>
    </w:p>
    <w:p w14:paraId="3205A290">
      <w:pPr>
        <w:spacing w:line="0" w:lineRule="atLeast"/>
        <w:jc w:val="both"/>
        <w:rPr>
          <w:rFonts w:ascii="Arial" w:hAnsi="Arial" w:eastAsia="Arial Unicode MS" w:cs="Arial"/>
          <w:color w:val="000000"/>
          <w:sz w:val="22"/>
          <w:szCs w:val="22"/>
          <w:lang w:bidi="ar"/>
        </w:rPr>
      </w:pPr>
      <w:r>
        <w:rPr>
          <w:rFonts w:ascii="Arial" w:hAnsi="Arial" w:eastAsia="Arial Unicode MS" w:cs="Arial"/>
          <w:color w:val="000000"/>
          <w:sz w:val="22"/>
          <w:szCs w:val="22"/>
          <w:lang w:bidi="ar"/>
        </w:rPr>
        <w:t>A straightforward method for reducing input complexity involves using biological signals (e.g., histone marks or other regulatory annotations) to identify less relevant regions of the genome. A global threshold is applied to these signals, and any segment falling below that threshold is considered non-essential. Instead of removing these regions entirely, we replace them with a special “SEP” token that also encodes the distance between the core, unmasked sequences. For instance, if a 500-base pair stretch is removed, the mask token might carry information indicating the approximate length or distance of the masked region. This strategy ensures that the model remains aware of potential spacing or contextual relationships, even if the specific nucleotides in that region are deemed unimportant (Figure 8).</w:t>
      </w:r>
    </w:p>
    <w:p w14:paraId="3E88283B">
      <w:pPr>
        <w:spacing w:line="0" w:lineRule="atLeast"/>
        <w:jc w:val="both"/>
        <w:rPr>
          <w:rFonts w:ascii="Arial" w:hAnsi="Arial" w:eastAsia="Arial Unicode MS" w:cs="Arial"/>
          <w:b/>
          <w:bCs/>
          <w:color w:val="000000"/>
          <w:sz w:val="22"/>
          <w:szCs w:val="22"/>
          <w:lang w:bidi="ar"/>
        </w:rPr>
      </w:pPr>
      <w:r>
        <w:rPr>
          <w:rFonts w:ascii="Arial" w:hAnsi="Arial" w:eastAsia="Arial Unicode MS" w:cs="Arial"/>
          <w:b/>
          <w:bCs/>
          <w:color w:val="000000"/>
          <w:sz w:val="22"/>
          <w:szCs w:val="22"/>
          <w:lang w:bidi="ar"/>
        </w:rPr>
        <w:t>C.3.2.3: Deep Learning Model for Causal Inference and Token Reduction</w:t>
      </w:r>
    </w:p>
    <w:p w14:paraId="5A875AA7">
      <w:pPr>
        <w:spacing w:line="0" w:lineRule="atLeast"/>
        <w:jc w:val="both"/>
        <w:rPr>
          <w:rFonts w:ascii="Arial" w:hAnsi="Arial" w:eastAsia="Arial Unicode MS" w:cs="Arial"/>
          <w:color w:val="000000"/>
          <w:sz w:val="22"/>
          <w:szCs w:val="22"/>
          <w:lang w:bidi="ar"/>
        </w:rPr>
      </w:pPr>
      <w:r>
        <w:rPr>
          <w:rFonts w:ascii="Arial" w:hAnsi="Arial" w:eastAsia="Arial Unicode MS" w:cs="Arial"/>
          <w:color w:val="000000"/>
          <w:sz w:val="22"/>
          <w:szCs w:val="22"/>
          <w:lang w:bidi="ar"/>
        </w:rPr>
        <w:t xml:space="preserve">Building on the naive approach, a more sophisticated alternative is to train a small deep learning model dedicated to deciding whether a particular region should be masked. Conceptually, we aim to learn a probability function </w:t>
      </w:r>
      <m:oMath>
        <m:r>
          <m:rPr/>
          <w:rPr>
            <w:rFonts w:ascii="Cambria Math" w:hAnsi="Cambria Math" w:eastAsia="Arial Unicode MS" w:cs="Arial"/>
            <w:color w:val="000000"/>
            <w:sz w:val="22"/>
            <w:szCs w:val="22"/>
            <w:lang w:bidi="ar"/>
          </w:rPr>
          <m:t>P</m:t>
        </m:r>
        <m:d>
          <m:dPr>
            <m:ctrlPr>
              <w:rPr>
                <w:rFonts w:ascii="Cambria Math" w:hAnsi="Cambria Math" w:eastAsia="Arial Unicode MS" w:cs="Arial"/>
                <w:i/>
                <w:color w:val="000000"/>
                <w:sz w:val="22"/>
                <w:szCs w:val="22"/>
                <w:lang w:bidi="ar"/>
              </w:rPr>
            </m:ctrlPr>
          </m:dPr>
          <m:e>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mask</m:t>
                </m:r>
                <m:ctrlPr>
                  <w:rPr>
                    <w:rFonts w:ascii="Cambria Math" w:hAnsi="Cambria Math" w:eastAsia="Arial Unicode MS" w:cs="Arial"/>
                    <w:i/>
                    <w:color w:val="000000"/>
                    <w:sz w:val="22"/>
                    <w:szCs w:val="22"/>
                    <w:lang w:bidi="ar"/>
                  </w:rPr>
                </m:ctrlPr>
              </m:sub>
            </m:sSub>
            <m:ctrlPr>
              <w:rPr>
                <w:rFonts w:ascii="Cambria Math" w:hAnsi="Cambria Math" w:eastAsia="Arial Unicode MS" w:cs="Arial"/>
                <w:i/>
                <w:color w:val="000000"/>
                <w:sz w:val="22"/>
                <w:szCs w:val="22"/>
                <w:lang w:bidi="ar"/>
              </w:rPr>
            </m:ctrlPr>
          </m:e>
          <m:e>
            <m:r>
              <m:rPr/>
              <w:rPr>
                <w:rFonts w:ascii="Cambria Math" w:hAnsi="Cambria Math" w:eastAsia="Arial Unicode MS" w:cs="Arial"/>
                <w:color w:val="000000"/>
                <w:sz w:val="22"/>
                <w:szCs w:val="22"/>
                <w:lang w:bidi="ar"/>
              </w:rPr>
              <m:t xml:space="preserve"> </m:t>
            </m:r>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signal</m:t>
                </m:r>
                <m:ctrlPr>
                  <w:rPr>
                    <w:rFonts w:ascii="Cambria Math" w:hAnsi="Cambria Math" w:eastAsia="Arial Unicode MS" w:cs="Arial"/>
                    <w:i/>
                    <w:color w:val="000000"/>
                    <w:sz w:val="22"/>
                    <w:szCs w:val="22"/>
                    <w:lang w:bidi="ar"/>
                  </w:rPr>
                </m:ctrlPr>
              </m:sub>
            </m:sSub>
            <m:ctrlPr>
              <w:rPr>
                <w:rFonts w:ascii="Cambria Math" w:hAnsi="Cambria Math" w:eastAsia="Arial Unicode MS" w:cs="Arial"/>
                <w:i/>
                <w:color w:val="000000"/>
                <w:sz w:val="22"/>
                <w:szCs w:val="22"/>
                <w:lang w:bidi="ar"/>
              </w:rPr>
            </m:ctrlPr>
          </m:e>
        </m:d>
      </m:oMath>
      <w:r>
        <w:rPr>
          <w:rFonts w:ascii="Arial" w:hAnsi="Arial" w:eastAsia="Arial Unicode MS" w:cs="Arial"/>
          <w:color w:val="000000"/>
          <w:sz w:val="22"/>
          <w:szCs w:val="22"/>
          <w:lang w:bidi="ar"/>
        </w:rPr>
        <w:t xml:space="preserve"> according to following formula:</w:t>
      </w:r>
    </w:p>
    <w:p w14:paraId="38878DA1">
      <w:pPr>
        <w:spacing w:line="0" w:lineRule="atLeast"/>
        <w:jc w:val="both"/>
        <w:rPr>
          <w:rFonts w:ascii="Arial" w:hAnsi="Arial" w:eastAsia="Arial Unicode MS" w:cs="Arial"/>
          <w:color w:val="000000"/>
          <w:sz w:val="22"/>
          <w:szCs w:val="22"/>
          <w:lang w:bidi="ar"/>
        </w:rPr>
      </w:pPr>
      <m:oMathPara>
        <m:oMath>
          <m:r>
            <m:rPr/>
            <w:rPr>
              <w:rFonts w:ascii="Cambria Math" w:hAnsi="Cambria Math" w:eastAsia="Arial Unicode MS" w:cs="Arial"/>
              <w:color w:val="000000"/>
              <w:sz w:val="22"/>
              <w:szCs w:val="22"/>
              <w:lang w:bidi="ar"/>
            </w:rPr>
            <m:t>P</m:t>
          </m:r>
          <m:d>
            <m:dPr>
              <m:ctrlPr>
                <w:rPr>
                  <w:rFonts w:ascii="Cambria Math" w:hAnsi="Cambria Math" w:eastAsia="Arial Unicode MS" w:cs="Arial"/>
                  <w:i/>
                  <w:color w:val="000000"/>
                  <w:sz w:val="22"/>
                  <w:szCs w:val="22"/>
                  <w:lang w:bidi="ar"/>
                </w:rPr>
              </m:ctrlPr>
            </m:dPr>
            <m:e>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mask</m:t>
                  </m:r>
                  <m:ctrlPr>
                    <w:rPr>
                      <w:rFonts w:ascii="Cambria Math" w:hAnsi="Cambria Math" w:eastAsia="Arial Unicode MS" w:cs="Arial"/>
                      <w:i/>
                      <w:color w:val="000000"/>
                      <w:sz w:val="22"/>
                      <w:szCs w:val="22"/>
                      <w:lang w:bidi="ar"/>
                    </w:rPr>
                  </m:ctrlPr>
                </m:sub>
              </m:sSub>
              <m:ctrlPr>
                <w:rPr>
                  <w:rFonts w:ascii="Cambria Math" w:hAnsi="Cambria Math" w:eastAsia="Arial Unicode MS" w:cs="Arial"/>
                  <w:i/>
                  <w:color w:val="000000"/>
                  <w:sz w:val="22"/>
                  <w:szCs w:val="22"/>
                  <w:lang w:bidi="ar"/>
                </w:rPr>
              </m:ctrlPr>
            </m:e>
            <m:e>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seq</m:t>
                  </m:r>
                  <m:ctrlPr>
                    <w:rPr>
                      <w:rFonts w:ascii="Cambria Math" w:hAnsi="Cambria Math" w:eastAsia="Arial Unicode MS" w:cs="Arial"/>
                      <w:i/>
                      <w:color w:val="000000"/>
                      <w:sz w:val="22"/>
                      <w:szCs w:val="22"/>
                      <w:lang w:bidi="ar"/>
                    </w:rPr>
                  </m:ctrlPr>
                </m:sub>
              </m:sSub>
              <m:r>
                <m:rPr/>
                <w:rPr>
                  <w:rFonts w:ascii="Cambria Math" w:hAnsi="Cambria Math" w:eastAsia="Arial Unicode MS" w:cs="Arial"/>
                  <w:color w:val="000000"/>
                  <w:sz w:val="22"/>
                  <w:szCs w:val="22"/>
                  <w:lang w:bidi="ar"/>
                </w:rPr>
                <m:t xml:space="preserve">, </m:t>
              </m:r>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signal</m:t>
                  </m:r>
                  <m:ctrlPr>
                    <w:rPr>
                      <w:rFonts w:ascii="Cambria Math" w:hAnsi="Cambria Math" w:eastAsia="Arial Unicode MS" w:cs="Arial"/>
                      <w:i/>
                      <w:color w:val="000000"/>
                      <w:sz w:val="22"/>
                      <w:szCs w:val="22"/>
                      <w:lang w:bidi="ar"/>
                    </w:rPr>
                  </m:ctrlPr>
                </m:sub>
              </m:sSub>
              <m:ctrlPr>
                <w:rPr>
                  <w:rFonts w:ascii="Cambria Math" w:hAnsi="Cambria Math" w:eastAsia="Arial Unicode MS" w:cs="Arial"/>
                  <w:i/>
                  <w:color w:val="000000"/>
                  <w:sz w:val="22"/>
                  <w:szCs w:val="22"/>
                  <w:lang w:bidi="ar"/>
                </w:rPr>
              </m:ctrlPr>
            </m:e>
          </m:d>
          <m:r>
            <m:rPr/>
            <w:rPr>
              <w:rFonts w:ascii="Cambria Math" w:hAnsi="Cambria Math" w:eastAsia="Arial Unicode MS" w:cs="Arial"/>
              <w:color w:val="000000"/>
              <w:sz w:val="22"/>
              <w:szCs w:val="22"/>
              <w:lang w:bidi="ar"/>
            </w:rPr>
            <m:t>∝P</m:t>
          </m:r>
          <m:d>
            <m:dPr>
              <m:ctrlPr>
                <w:rPr>
                  <w:rFonts w:ascii="Cambria Math" w:hAnsi="Cambria Math" w:eastAsia="Arial Unicode MS" w:cs="Arial"/>
                  <w:i/>
                  <w:color w:val="000000"/>
                  <w:sz w:val="22"/>
                  <w:szCs w:val="22"/>
                  <w:lang w:bidi="ar"/>
                </w:rPr>
              </m:ctrlPr>
            </m:dPr>
            <m:e>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mask</m:t>
                  </m:r>
                  <m:ctrlPr>
                    <w:rPr>
                      <w:rFonts w:ascii="Cambria Math" w:hAnsi="Cambria Math" w:eastAsia="Arial Unicode MS" w:cs="Arial"/>
                      <w:i/>
                      <w:color w:val="000000"/>
                      <w:sz w:val="22"/>
                      <w:szCs w:val="22"/>
                      <w:lang w:bidi="ar"/>
                    </w:rPr>
                  </m:ctrlPr>
                </m:sub>
              </m:sSub>
              <m:ctrlPr>
                <w:rPr>
                  <w:rFonts w:ascii="Cambria Math" w:hAnsi="Cambria Math" w:eastAsia="Arial Unicode MS" w:cs="Arial"/>
                  <w:i/>
                  <w:color w:val="000000"/>
                  <w:sz w:val="22"/>
                  <w:szCs w:val="22"/>
                  <w:lang w:bidi="ar"/>
                </w:rPr>
              </m:ctrlPr>
            </m:e>
            <m:e>
              <m:r>
                <m:rPr/>
                <w:rPr>
                  <w:rFonts w:ascii="Cambria Math" w:hAnsi="Cambria Math" w:eastAsia="Arial Unicode MS" w:cs="Arial"/>
                  <w:color w:val="000000"/>
                  <w:sz w:val="22"/>
                  <w:szCs w:val="22"/>
                  <w:lang w:bidi="ar"/>
                </w:rPr>
                <m:t xml:space="preserve"> </m:t>
              </m:r>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signal</m:t>
                  </m:r>
                  <m:ctrlPr>
                    <w:rPr>
                      <w:rFonts w:ascii="Cambria Math" w:hAnsi="Cambria Math" w:eastAsia="Arial Unicode MS" w:cs="Arial"/>
                      <w:i/>
                      <w:color w:val="000000"/>
                      <w:sz w:val="22"/>
                      <w:szCs w:val="22"/>
                      <w:lang w:bidi="ar"/>
                    </w:rPr>
                  </m:ctrlPr>
                </m:sub>
              </m:sSub>
              <m:ctrlPr>
                <w:rPr>
                  <w:rFonts w:ascii="Cambria Math" w:hAnsi="Cambria Math" w:eastAsia="Arial Unicode MS" w:cs="Arial"/>
                  <w:i/>
                  <w:color w:val="000000"/>
                  <w:sz w:val="22"/>
                  <w:szCs w:val="22"/>
                  <w:lang w:bidi="ar"/>
                </w:rPr>
              </m:ctrlPr>
            </m:e>
          </m:d>
          <m:r>
            <m:rPr/>
            <w:rPr>
              <w:rFonts w:ascii="Cambria Math" w:hAnsi="Cambria Math" w:eastAsia="Arial Unicode MS" w:cs="Arial"/>
              <w:color w:val="000000"/>
              <w:sz w:val="22"/>
              <w:szCs w:val="22"/>
              <w:lang w:bidi="ar"/>
            </w:rPr>
            <m:t>∙P</m:t>
          </m:r>
          <m:d>
            <m:dPr>
              <m:ctrlPr>
                <w:rPr>
                  <w:rFonts w:ascii="Cambria Math" w:hAnsi="Cambria Math" w:eastAsia="Arial Unicode MS" w:cs="Arial"/>
                  <w:i/>
                  <w:color w:val="000000"/>
                  <w:sz w:val="22"/>
                  <w:szCs w:val="22"/>
                  <w:lang w:bidi="ar"/>
                </w:rPr>
              </m:ctrlPr>
            </m:dPr>
            <m:e>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mask</m:t>
                  </m:r>
                  <m:ctrlPr>
                    <w:rPr>
                      <w:rFonts w:ascii="Cambria Math" w:hAnsi="Cambria Math" w:eastAsia="Arial Unicode MS" w:cs="Arial"/>
                      <w:i/>
                      <w:color w:val="000000"/>
                      <w:sz w:val="22"/>
                      <w:szCs w:val="22"/>
                      <w:lang w:bidi="ar"/>
                    </w:rPr>
                  </m:ctrlPr>
                </m:sub>
              </m:sSub>
              <m:ctrlPr>
                <w:rPr>
                  <w:rFonts w:ascii="Cambria Math" w:hAnsi="Cambria Math" w:eastAsia="Arial Unicode MS" w:cs="Arial"/>
                  <w:i/>
                  <w:color w:val="000000"/>
                  <w:sz w:val="22"/>
                  <w:szCs w:val="22"/>
                  <w:lang w:bidi="ar"/>
                </w:rPr>
              </m:ctrlPr>
            </m:e>
            <m:e>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seq</m:t>
                  </m:r>
                  <m:ctrlPr>
                    <w:rPr>
                      <w:rFonts w:ascii="Cambria Math" w:hAnsi="Cambria Math" w:eastAsia="Arial Unicode MS" w:cs="Arial"/>
                      <w:i/>
                      <w:color w:val="000000"/>
                      <w:sz w:val="22"/>
                      <w:szCs w:val="22"/>
                      <w:lang w:bidi="ar"/>
                    </w:rPr>
                  </m:ctrlPr>
                </m:sub>
              </m:sSub>
              <m:r>
                <m:rPr/>
                <w:rPr>
                  <w:rFonts w:ascii="Cambria Math" w:hAnsi="Cambria Math" w:eastAsia="Arial Unicode MS" w:cs="Arial"/>
                  <w:color w:val="000000"/>
                  <w:sz w:val="22"/>
                  <w:szCs w:val="22"/>
                  <w:lang w:bidi="ar"/>
                </w:rPr>
                <m:t xml:space="preserve"> </m:t>
              </m:r>
              <m:ctrlPr>
                <w:rPr>
                  <w:rFonts w:ascii="Cambria Math" w:hAnsi="Cambria Math" w:eastAsia="Arial Unicode MS" w:cs="Arial"/>
                  <w:i/>
                  <w:color w:val="000000"/>
                  <w:sz w:val="22"/>
                  <w:szCs w:val="22"/>
                  <w:lang w:bidi="ar"/>
                </w:rPr>
              </m:ctrlPr>
            </m:e>
          </m:d>
        </m:oMath>
      </m:oMathPara>
    </w:p>
    <w:p w14:paraId="4D3CA3F9">
      <w:pPr>
        <w:spacing w:line="0" w:lineRule="atLeast"/>
        <w:jc w:val="both"/>
        <w:rPr>
          <w:rFonts w:ascii="Arial" w:hAnsi="Arial" w:cs="Arial"/>
        </w:rPr>
      </w:pPr>
      <w:r>
        <w:rPr>
          <w:rFonts w:ascii="Arial" w:hAnsi="Arial" w:eastAsia="Arial Unicode MS" w:cs="Arial"/>
          <w:color w:val="000000"/>
          <w:sz w:val="22"/>
          <w:szCs w:val="22"/>
          <w:lang w:bidi="ar"/>
        </w:rPr>
        <w:t xml:space="preserve">To model </w:t>
      </w:r>
      <m:oMath>
        <m:r>
          <m:rPr/>
          <w:rPr>
            <w:rFonts w:ascii="Cambria Math" w:hAnsi="Cambria Math" w:eastAsia="Arial Unicode MS" w:cs="Arial"/>
            <w:color w:val="000000"/>
            <w:sz w:val="22"/>
            <w:szCs w:val="22"/>
            <w:lang w:bidi="ar"/>
          </w:rPr>
          <m:t>P</m:t>
        </m:r>
        <m:d>
          <m:dPr>
            <m:ctrlPr>
              <w:rPr>
                <w:rFonts w:ascii="Cambria Math" w:hAnsi="Cambria Math" w:eastAsia="Arial Unicode MS" w:cs="Arial"/>
                <w:i/>
                <w:color w:val="000000"/>
                <w:sz w:val="22"/>
                <w:szCs w:val="22"/>
                <w:lang w:bidi="ar"/>
              </w:rPr>
            </m:ctrlPr>
          </m:dPr>
          <m:e>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mask</m:t>
                </m:r>
                <m:ctrlPr>
                  <w:rPr>
                    <w:rFonts w:ascii="Cambria Math" w:hAnsi="Cambria Math" w:eastAsia="Arial Unicode MS" w:cs="Arial"/>
                    <w:i/>
                    <w:color w:val="000000"/>
                    <w:sz w:val="22"/>
                    <w:szCs w:val="22"/>
                    <w:lang w:bidi="ar"/>
                  </w:rPr>
                </m:ctrlPr>
              </m:sub>
            </m:sSub>
            <m:ctrlPr>
              <w:rPr>
                <w:rFonts w:ascii="Cambria Math" w:hAnsi="Cambria Math" w:eastAsia="Arial Unicode MS" w:cs="Arial"/>
                <w:i/>
                <w:color w:val="000000"/>
                <w:sz w:val="22"/>
                <w:szCs w:val="22"/>
                <w:lang w:bidi="ar"/>
              </w:rPr>
            </m:ctrlPr>
          </m:e>
          <m:e>
            <m:r>
              <m:rPr/>
              <w:rPr>
                <w:rFonts w:ascii="Cambria Math" w:hAnsi="Cambria Math" w:eastAsia="Arial Unicode MS" w:cs="Arial"/>
                <w:color w:val="000000"/>
                <w:sz w:val="22"/>
                <w:szCs w:val="22"/>
                <w:lang w:bidi="ar"/>
              </w:rPr>
              <m:t xml:space="preserve"> </m:t>
            </m:r>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signal</m:t>
                </m:r>
                <m:ctrlPr>
                  <w:rPr>
                    <w:rFonts w:ascii="Cambria Math" w:hAnsi="Cambria Math" w:eastAsia="Arial Unicode MS" w:cs="Arial"/>
                    <w:i/>
                    <w:color w:val="000000"/>
                    <w:sz w:val="22"/>
                    <w:szCs w:val="22"/>
                    <w:lang w:bidi="ar"/>
                  </w:rPr>
                </m:ctrlPr>
              </m:sub>
            </m:sSub>
            <m:ctrlPr>
              <w:rPr>
                <w:rFonts w:ascii="Cambria Math" w:hAnsi="Cambria Math" w:eastAsia="Arial Unicode MS" w:cs="Arial"/>
                <w:i/>
                <w:color w:val="000000"/>
                <w:sz w:val="22"/>
                <w:szCs w:val="22"/>
                <w:lang w:bidi="ar"/>
              </w:rPr>
            </m:ctrlPr>
          </m:e>
        </m:d>
      </m:oMath>
      <w:r>
        <w:rPr>
          <w:rFonts w:ascii="Arial" w:hAnsi="Arial" w:eastAsia="Arial Unicode MS" w:cs="Arial"/>
          <w:color w:val="000000"/>
          <w:sz w:val="22"/>
          <w:szCs w:val="22"/>
          <w:lang w:bidi="ar"/>
        </w:rPr>
        <w:t xml:space="preserve">, we use a deep learning model to </w:t>
      </w:r>
      <w:r>
        <w:rPr>
          <w:rFonts w:ascii="Arial" w:hAnsi="Arial" w:cs="Arial"/>
        </w:rPr>
        <w:t xml:space="preserve">output the parameters </w:t>
      </w:r>
      <m:oMath>
        <m:sSub>
          <m:sSubPr>
            <m:ctrlPr>
              <w:rPr>
                <w:rFonts w:ascii="Cambria Math" w:hAnsi="Cambria Math" w:cs="Arial"/>
                <w:i/>
              </w:rPr>
            </m:ctrlPr>
          </m:sSubPr>
          <m:e>
            <m:r>
              <m:rPr/>
              <w:rPr>
                <w:rFonts w:ascii="Cambria Math" w:hAnsi="Cambria Math" w:cs="Arial"/>
              </w:rPr>
              <m:t>α</m:t>
            </m:r>
            <m:ctrlPr>
              <w:rPr>
                <w:rFonts w:ascii="Cambria Math" w:hAnsi="Cambria Math" w:cs="Arial"/>
                <w:i/>
              </w:rPr>
            </m:ctrlPr>
          </m:e>
          <m:sub>
            <m:r>
              <m:rPr/>
              <w:rPr>
                <w:rFonts w:ascii="Cambria Math" w:hAnsi="Cambria Math" w:cs="Arial"/>
              </w:rPr>
              <m:t>i</m:t>
            </m:r>
            <m:ctrlPr>
              <w:rPr>
                <w:rFonts w:ascii="Cambria Math" w:hAnsi="Cambria Math" w:cs="Arial"/>
                <w:i/>
              </w:rPr>
            </m:ctrlPr>
          </m:sub>
        </m:sSub>
      </m:oMath>
      <w:r>
        <w:rPr>
          <w:rFonts w:ascii="Arial" w:hAnsi="Arial" w:cs="Arial"/>
        </w:rPr>
        <w:t xml:space="preserve"> and </w:t>
      </w:r>
      <m:oMath>
        <m:sSub>
          <m:sSubPr>
            <m:ctrlPr>
              <w:rPr>
                <w:rFonts w:ascii="Cambria Math" w:hAnsi="Cambria Math" w:cs="Arial"/>
                <w:i/>
              </w:rPr>
            </m:ctrlPr>
          </m:sSubPr>
          <m:e>
            <m:r>
              <m:rPr/>
              <w:rPr>
                <w:rFonts w:ascii="Cambria Math" w:hAnsi="Cambria Math" w:cs="Arial"/>
              </w:rPr>
              <m:t>β</m:t>
            </m:r>
            <m:ctrlPr>
              <w:rPr>
                <w:rFonts w:ascii="Cambria Math" w:hAnsi="Cambria Math" w:cs="Arial"/>
                <w:i/>
              </w:rPr>
            </m:ctrlPr>
          </m:e>
          <m:sub>
            <m:r>
              <m:rPr/>
              <w:rPr>
                <w:rFonts w:ascii="Cambria Math" w:hAnsi="Cambria Math" w:cs="Arial"/>
              </w:rPr>
              <m:t>i</m:t>
            </m:r>
            <m:ctrlPr>
              <w:rPr>
                <w:rFonts w:ascii="Cambria Math" w:hAnsi="Cambria Math" w:cs="Arial"/>
                <w:i/>
              </w:rPr>
            </m:ctrlPr>
          </m:sub>
        </m:sSub>
      </m:oMath>
      <w:r>
        <w:rPr>
          <w:rStyle w:val="5"/>
          <w:rFonts w:ascii="Arial" w:hAnsi="Arial" w:cs="Arial"/>
        </w:rPr>
        <w:t>​</w:t>
      </w:r>
      <w:r>
        <w:rPr>
          <w:rFonts w:ascii="Arial" w:hAnsi="Arial" w:cs="Arial"/>
        </w:rPr>
        <w:t xml:space="preserve"> of a Beta distribution:</w:t>
      </w:r>
    </w:p>
    <w:p w14:paraId="72ABE75C">
      <w:pPr>
        <w:spacing w:line="0" w:lineRule="atLeast"/>
        <w:jc w:val="both"/>
        <w:rPr>
          <w:rFonts w:ascii="Arial" w:hAnsi="Arial" w:cs="Arial"/>
        </w:rPr>
      </w:pPr>
      <m:oMathPara>
        <m:oMath>
          <m:d>
            <m:dPr>
              <m:ctrlPr>
                <w:rPr>
                  <w:rFonts w:ascii="Cambria Math" w:hAnsi="Cambria Math" w:cs="Arial"/>
                  <w:i/>
                </w:rPr>
              </m:ctrlPr>
            </m:dPr>
            <m:e>
              <m:sSub>
                <m:sSubPr>
                  <m:ctrlPr>
                    <w:rPr>
                      <w:rFonts w:ascii="Cambria Math" w:hAnsi="Cambria Math" w:cs="Arial"/>
                      <w:i/>
                    </w:rPr>
                  </m:ctrlPr>
                </m:sSubPr>
                <m:e>
                  <m:r>
                    <m:rPr/>
                    <w:rPr>
                      <w:rFonts w:ascii="Cambria Math" w:hAnsi="Cambria Math" w:cs="Arial"/>
                    </w:rPr>
                    <m:t>α</m:t>
                  </m:r>
                  <m:ctrlPr>
                    <w:rPr>
                      <w:rFonts w:ascii="Cambria Math" w:hAnsi="Cambria Math" w:cs="Arial"/>
                      <w:i/>
                    </w:rPr>
                  </m:ctrlPr>
                </m:e>
                <m:sub>
                  <m:r>
                    <m:rPr/>
                    <w:rPr>
                      <w:rFonts w:ascii="Cambria Math" w:hAnsi="Cambria Math" w:cs="Arial"/>
                    </w:rPr>
                    <m:t>i</m:t>
                  </m:r>
                  <m:ctrlPr>
                    <w:rPr>
                      <w:rFonts w:ascii="Cambria Math" w:hAnsi="Cambria Math" w:cs="Arial"/>
                      <w:i/>
                    </w:rPr>
                  </m:ctrlPr>
                </m:sub>
              </m:sSub>
              <m:r>
                <m:rPr/>
                <w:rPr>
                  <w:rFonts w:ascii="Cambria Math" w:hAnsi="Cambria Math" w:cs="Arial"/>
                </w:rPr>
                <m:t xml:space="preserve">, </m:t>
              </m:r>
              <m:sSub>
                <m:sSubPr>
                  <m:ctrlPr>
                    <w:rPr>
                      <w:rFonts w:ascii="Cambria Math" w:hAnsi="Cambria Math" w:cs="Arial"/>
                      <w:i/>
                    </w:rPr>
                  </m:ctrlPr>
                </m:sSubPr>
                <m:e>
                  <m:r>
                    <m:rPr/>
                    <w:rPr>
                      <w:rFonts w:ascii="Cambria Math" w:hAnsi="Cambria Math" w:cs="Arial"/>
                    </w:rPr>
                    <m:t>β</m:t>
                  </m:r>
                  <m:ctrlPr>
                    <w:rPr>
                      <w:rFonts w:ascii="Cambria Math" w:hAnsi="Cambria Math" w:cs="Arial"/>
                      <w:i/>
                    </w:rPr>
                  </m:ctrlPr>
                </m:e>
                <m:sub>
                  <m:r>
                    <m:rPr/>
                    <w:rPr>
                      <w:rFonts w:ascii="Cambria Math" w:hAnsi="Cambria Math" w:cs="Arial"/>
                    </w:rPr>
                    <m:t>i</m:t>
                  </m:r>
                  <m:ctrlPr>
                    <w:rPr>
                      <w:rFonts w:ascii="Cambria Math" w:hAnsi="Cambria Math" w:cs="Arial"/>
                      <w:i/>
                    </w:rPr>
                  </m:ctrlPr>
                </m:sub>
              </m:sSub>
              <m:ctrlPr>
                <w:rPr>
                  <w:rFonts w:ascii="Cambria Math" w:hAnsi="Cambria Math" w:cs="Arial"/>
                  <w:i/>
                </w:rPr>
              </m:ctrlPr>
            </m:e>
          </m:d>
          <m:r>
            <m:rPr/>
            <w:rPr>
              <w:rFonts w:ascii="Cambria Math" w:hAnsi="Cambria Math" w:cs="Arial"/>
            </w:rPr>
            <m:t>=</m:t>
          </m:r>
          <m:sSub>
            <m:sSubPr>
              <m:ctrlPr>
                <w:rPr>
                  <w:rFonts w:ascii="Cambria Math" w:hAnsi="Cambria Math" w:cs="Arial"/>
                  <w:i/>
                </w:rPr>
              </m:ctrlPr>
            </m:sSubPr>
            <m:e>
              <m:r>
                <m:rPr/>
                <w:rPr>
                  <w:rFonts w:ascii="Cambria Math" w:hAnsi="Cambria Math" w:cs="Arial"/>
                </w:rPr>
                <m:t>f</m:t>
              </m:r>
              <m:ctrlPr>
                <w:rPr>
                  <w:rFonts w:ascii="Cambria Math" w:hAnsi="Cambria Math" w:cs="Arial"/>
                  <w:i/>
                </w:rPr>
              </m:ctrlPr>
            </m:e>
            <m:sub>
              <m:r>
                <m:rPr/>
                <w:rPr>
                  <w:rFonts w:ascii="Cambria Math" w:hAnsi="Cambria Math" w:cs="Arial"/>
                </w:rPr>
                <m:t>θ</m:t>
              </m:r>
              <m:ctrlPr>
                <w:rPr>
                  <w:rFonts w:ascii="Cambria Math" w:hAnsi="Cambria Math" w:cs="Arial"/>
                  <w:i/>
                </w:rPr>
              </m:ctrlPr>
            </m:sub>
          </m:sSub>
          <m:r>
            <m:rPr/>
            <w:rPr>
              <w:rFonts w:ascii="Cambria Math" w:hAnsi="Cambria Math" w:cs="Arial"/>
            </w:rPr>
            <m:t>(</m:t>
          </m:r>
          <m:sSub>
            <m:sSubPr>
              <m:ctrlPr>
                <w:rPr>
                  <w:rFonts w:ascii="Cambria Math" w:hAnsi="Cambria Math" w:eastAsia="Arial Unicode MS" w:cs="Arial"/>
                  <w:i/>
                  <w:color w:val="000000"/>
                  <w:sz w:val="22"/>
                  <w:szCs w:val="22"/>
                  <w:lang w:bidi="ar"/>
                </w:rPr>
              </m:ctrlPr>
            </m:sSubPr>
            <m:e>
              <m:r>
                <m:rPr/>
                <w:rPr>
                  <w:rFonts w:ascii="Cambria Math" w:hAnsi="Cambria Math" w:eastAsia="Arial Unicode MS" w:cs="Arial"/>
                  <w:color w:val="000000"/>
                  <w:sz w:val="22"/>
                  <w:szCs w:val="22"/>
                  <w:lang w:bidi="ar"/>
                </w:rPr>
                <m:t>x</m:t>
              </m:r>
              <m:ctrlPr>
                <w:rPr>
                  <w:rFonts w:ascii="Cambria Math" w:hAnsi="Cambria Math" w:eastAsia="Arial Unicode MS" w:cs="Arial"/>
                  <w:i/>
                  <w:color w:val="000000"/>
                  <w:sz w:val="22"/>
                  <w:szCs w:val="22"/>
                  <w:lang w:bidi="ar"/>
                </w:rPr>
              </m:ctrlPr>
            </m:e>
            <m:sub>
              <m:r>
                <m:rPr/>
                <w:rPr>
                  <w:rFonts w:ascii="Cambria Math" w:hAnsi="Cambria Math" w:eastAsia="Arial Unicode MS" w:cs="Arial"/>
                  <w:color w:val="000000"/>
                  <w:sz w:val="22"/>
                  <w:szCs w:val="22"/>
                  <w:lang w:bidi="ar"/>
                </w:rPr>
                <m:t>signal</m:t>
              </m:r>
              <m:ctrlPr>
                <w:rPr>
                  <w:rFonts w:ascii="Cambria Math" w:hAnsi="Cambria Math" w:eastAsia="Arial Unicode MS" w:cs="Arial"/>
                  <w:i/>
                  <w:color w:val="000000"/>
                  <w:sz w:val="22"/>
                  <w:szCs w:val="22"/>
                  <w:lang w:bidi="ar"/>
                </w:rPr>
              </m:ctrlPr>
            </m:sub>
          </m:sSub>
          <m:r>
            <m:rPr/>
            <w:rPr>
              <w:rFonts w:ascii="Cambria Math" w:hAnsi="Cambria Math" w:eastAsia="Arial Unicode MS" w:cs="Arial"/>
              <w:color w:val="000000"/>
              <w:sz w:val="22"/>
              <w:szCs w:val="22"/>
              <w:lang w:bidi="ar"/>
            </w:rPr>
            <m:t>)</m:t>
          </m:r>
        </m:oMath>
      </m:oMathPara>
    </w:p>
    <w:p w14:paraId="133605F4">
      <w:pPr>
        <w:spacing w:line="0" w:lineRule="atLeast"/>
        <w:jc w:val="both"/>
        <w:rPr>
          <w:rFonts w:ascii="Arial" w:hAnsi="Arial" w:cs="Arial"/>
        </w:rPr>
      </w:pPr>
      <w:r>
        <w:rPr>
          <w:rFonts w:ascii="Arial" w:hAnsi="Arial" w:cs="Arial"/>
        </w:rPr>
        <w:t xml:space="preserve">and then sample a probability </w:t>
      </w:r>
      <m:oMath>
        <m:sSub>
          <m:sSubPr>
            <m:ctrlPr>
              <w:rPr>
                <w:rFonts w:ascii="Cambria Math" w:hAnsi="Cambria Math" w:cs="Arial"/>
                <w:i/>
              </w:rPr>
            </m:ctrlPr>
          </m:sSubPr>
          <m:e>
            <m:r>
              <m:rPr/>
              <w:rPr>
                <w:rFonts w:ascii="Cambria Math" w:hAnsi="Cambria Math" w:cs="Arial"/>
              </w:rPr>
              <m:t>p</m:t>
            </m:r>
            <m:ctrlPr>
              <w:rPr>
                <w:rFonts w:ascii="Cambria Math" w:hAnsi="Cambria Math" w:cs="Arial"/>
                <w:i/>
              </w:rPr>
            </m:ctrlPr>
          </m:e>
          <m:sub>
            <m:r>
              <m:rPr/>
              <w:rPr>
                <w:rFonts w:ascii="Cambria Math" w:hAnsi="Cambria Math" w:cs="Arial"/>
              </w:rPr>
              <m:t>i</m:t>
            </m:r>
            <m:ctrlPr>
              <w:rPr>
                <w:rFonts w:ascii="Cambria Math" w:hAnsi="Cambria Math" w:cs="Arial"/>
                <w:i/>
              </w:rPr>
            </m:ctrlPr>
          </m:sub>
        </m:sSub>
      </m:oMath>
      <w:r>
        <w:rPr>
          <w:rFonts w:ascii="Arial" w:hAnsi="Arial" w:cs="Arial"/>
        </w:rPr>
        <w:t xml:space="preserve"> for masking region from:</w:t>
      </w:r>
    </w:p>
    <w:p w14:paraId="1B587642">
      <w:pPr>
        <w:spacing w:line="0" w:lineRule="atLeast"/>
        <w:jc w:val="both"/>
        <w:rPr>
          <w:rFonts w:ascii="Arial" w:hAnsi="Arial" w:cs="Arial"/>
        </w:rPr>
      </w:pPr>
      <m:oMathPara>
        <m:oMath>
          <m:sSub>
            <m:sSubPr>
              <m:ctrlPr>
                <w:rPr>
                  <w:rFonts w:ascii="Cambria Math" w:hAnsi="Cambria Math" w:cs="Arial"/>
                  <w:i/>
                </w:rPr>
              </m:ctrlPr>
            </m:sSubPr>
            <m:e>
              <m:r>
                <m:rPr/>
                <w:rPr>
                  <w:rFonts w:ascii="Cambria Math" w:hAnsi="Cambria Math" w:cs="Arial"/>
                </w:rPr>
                <m:t>p</m:t>
              </m:r>
              <m:ctrlPr>
                <w:rPr>
                  <w:rFonts w:ascii="Cambria Math" w:hAnsi="Cambria Math" w:cs="Arial"/>
                  <w:i/>
                </w:rPr>
              </m:ctrlPr>
            </m:e>
            <m:sub>
              <m:r>
                <m:rPr/>
                <w:rPr>
                  <w:rFonts w:ascii="Cambria Math" w:hAnsi="Cambria Math" w:cs="Arial"/>
                </w:rPr>
                <m:t>i</m:t>
              </m:r>
              <m:ctrlPr>
                <w:rPr>
                  <w:rFonts w:ascii="Cambria Math" w:hAnsi="Cambria Math" w:cs="Arial"/>
                  <w:i/>
                </w:rPr>
              </m:ctrlPr>
            </m:sub>
          </m:sSub>
          <m:r>
            <m:rPr/>
            <w:rPr>
              <w:rFonts w:ascii="Cambria Math" w:hAnsi="Cambria Math" w:cs="Arial"/>
            </w:rPr>
            <m:t>~Beta(</m:t>
          </m:r>
          <m:sSub>
            <m:sSubPr>
              <m:ctrlPr>
                <w:rPr>
                  <w:rFonts w:ascii="Cambria Math" w:hAnsi="Cambria Math" w:cs="Arial"/>
                  <w:i/>
                </w:rPr>
              </m:ctrlPr>
            </m:sSubPr>
            <m:e>
              <m:r>
                <m:rPr/>
                <w:rPr>
                  <w:rFonts w:ascii="Cambria Math" w:hAnsi="Cambria Math" w:cs="Arial"/>
                </w:rPr>
                <m:t>α</m:t>
              </m:r>
              <m:ctrlPr>
                <w:rPr>
                  <w:rFonts w:ascii="Cambria Math" w:hAnsi="Cambria Math" w:cs="Arial"/>
                  <w:i/>
                </w:rPr>
              </m:ctrlPr>
            </m:e>
            <m:sub>
              <m:r>
                <m:rPr/>
                <w:rPr>
                  <w:rFonts w:ascii="Cambria Math" w:hAnsi="Cambria Math" w:cs="Arial"/>
                </w:rPr>
                <m:t>i</m:t>
              </m:r>
              <m:ctrlPr>
                <w:rPr>
                  <w:rFonts w:ascii="Cambria Math" w:hAnsi="Cambria Math" w:cs="Arial"/>
                  <w:i/>
                </w:rPr>
              </m:ctrlPr>
            </m:sub>
          </m:sSub>
          <m:r>
            <m:rPr/>
            <w:rPr>
              <w:rFonts w:ascii="Cambria Math" w:hAnsi="Cambria Math" w:cs="Arial"/>
            </w:rPr>
            <m:t xml:space="preserve">, </m:t>
          </m:r>
          <m:sSub>
            <m:sSubPr>
              <m:ctrlPr>
                <w:rPr>
                  <w:rFonts w:ascii="Cambria Math" w:hAnsi="Cambria Math" w:cs="Arial"/>
                  <w:i/>
                </w:rPr>
              </m:ctrlPr>
            </m:sSubPr>
            <m:e>
              <m:r>
                <m:rPr/>
                <w:rPr>
                  <w:rFonts w:ascii="Cambria Math" w:hAnsi="Cambria Math" w:cs="Arial"/>
                </w:rPr>
                <m:t>β</m:t>
              </m:r>
              <m:ctrlPr>
                <w:rPr>
                  <w:rFonts w:ascii="Cambria Math" w:hAnsi="Cambria Math" w:cs="Arial"/>
                  <w:i/>
                </w:rPr>
              </m:ctrlPr>
            </m:e>
            <m:sub>
              <m:r>
                <m:rPr/>
                <w:rPr>
                  <w:rFonts w:ascii="Cambria Math" w:hAnsi="Cambria Math" w:cs="Arial"/>
                </w:rPr>
                <m:t>i</m:t>
              </m:r>
              <m:ctrlPr>
                <w:rPr>
                  <w:rFonts w:ascii="Cambria Math" w:hAnsi="Cambria Math" w:cs="Arial"/>
                  <w:i/>
                </w:rPr>
              </m:ctrlPr>
            </m:sub>
          </m:sSub>
          <m:r>
            <m:rPr/>
            <w:rPr>
              <w:rFonts w:ascii="Cambria Math" w:hAnsi="Cambria Math" w:cs="Arial"/>
            </w:rPr>
            <m:t>)</m:t>
          </m:r>
        </m:oMath>
      </m:oMathPara>
    </w:p>
    <w:p w14:paraId="01965AC8">
      <w:pPr>
        <w:spacing w:line="0" w:lineRule="atLeast"/>
        <w:jc w:val="both"/>
        <w:rPr>
          <w:rFonts w:ascii="Arial" w:hAnsi="Arial" w:eastAsia="Arial Unicode MS" w:cs="Arial"/>
          <w:color w:val="000000"/>
          <w:sz w:val="22"/>
          <w:szCs w:val="22"/>
          <w:lang w:bidi="ar"/>
        </w:rPr>
      </w:pPr>
      <w:r>
        <w:rPr>
          <w:rFonts w:ascii="Arial" w:hAnsi="Arial" w:eastAsia="Arial Unicode MS" w:cs="Arial"/>
          <w:color w:val="000000"/>
          <w:sz w:val="22"/>
          <w:szCs w:val="22"/>
          <w:lang w:bidi="ar"/>
        </w:rPr>
        <w:t>By learning which signals are most predictive of regulatory activity, this model can dynamically mask out regions that are unlikely to contribute to the final prediction, thereby improving efficiency and focusing the downstream model on the most informative portions of the sequence.</w:t>
      </w:r>
    </w:p>
    <w:p w14:paraId="17F49D80">
      <w:pPr>
        <w:spacing w:line="0" w:lineRule="atLeast"/>
        <w:jc w:val="both"/>
        <w:rPr>
          <w:rFonts w:ascii="Arial" w:hAnsi="Arial" w:eastAsia="Arial Unicode MS" w:cs="Arial"/>
          <w:b/>
          <w:bCs/>
          <w:color w:val="000000"/>
          <w:sz w:val="22"/>
          <w:szCs w:val="22"/>
          <w:lang w:bidi="ar"/>
        </w:rPr>
      </w:pPr>
      <w:r>
        <w:rPr>
          <w:rFonts w:ascii="Arial" w:hAnsi="Arial" w:eastAsia="Arial Unicode MS" w:cs="Arial"/>
          <w:b/>
          <w:bCs/>
          <w:color w:val="000000"/>
          <w:sz w:val="22"/>
          <w:szCs w:val="22"/>
          <w:lang w:bidi="ar"/>
        </w:rPr>
        <w:t>C.3.2.4: Acceleration of Training Process</w:t>
      </w:r>
    </w:p>
    <w:p w14:paraId="5ACE7A9A">
      <w:pPr>
        <w:spacing w:line="0" w:lineRule="atLeast"/>
        <w:jc w:val="both"/>
        <w:rPr>
          <w:rFonts w:ascii="Arial" w:hAnsi="Arial" w:eastAsia="Arial Unicode MS" w:cs="Arial"/>
          <w:color w:val="000000"/>
          <w:sz w:val="22"/>
          <w:szCs w:val="22"/>
          <w:lang w:bidi="ar"/>
        </w:rPr>
      </w:pPr>
      <w:r>
        <w:rPr>
          <w:rFonts w:ascii="Arial" w:hAnsi="Arial" w:eastAsia="Arial Unicode MS" w:cs="Arial"/>
          <w:color w:val="000000"/>
          <w:sz w:val="22"/>
          <w:szCs w:val="22"/>
          <w:lang w:bidi="ar"/>
        </w:rPr>
        <w:drawing>
          <wp:anchor distT="0" distB="0" distL="114300" distR="114300" simplePos="0" relativeHeight="251661312" behindDoc="0" locked="0" layoutInCell="1" allowOverlap="1">
            <wp:simplePos x="0" y="0"/>
            <wp:positionH relativeFrom="column">
              <wp:posOffset>2171700</wp:posOffset>
            </wp:positionH>
            <wp:positionV relativeFrom="paragraph">
              <wp:posOffset>1044575</wp:posOffset>
            </wp:positionV>
            <wp:extent cx="4506595" cy="1195070"/>
            <wp:effectExtent l="0" t="0" r="1905" b="0"/>
            <wp:wrapSquare wrapText="bothSides"/>
            <wp:docPr id="176375850" name="图片 14" descr="图片包含 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5850" name="图片 14" descr="图片包含 图形用户界面&#10;&#10;AI 生成的内容可能不正确。"/>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6595" cy="1195070"/>
                    </a:xfrm>
                    <a:prstGeom prst="rect">
                      <a:avLst/>
                    </a:prstGeom>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2171065</wp:posOffset>
                </wp:positionH>
                <wp:positionV relativeFrom="paragraph">
                  <wp:posOffset>2271395</wp:posOffset>
                </wp:positionV>
                <wp:extent cx="4506595" cy="635"/>
                <wp:effectExtent l="0" t="0" r="0" b="0"/>
                <wp:wrapSquare wrapText="bothSides"/>
                <wp:docPr id="1232198916" name="文本框 1"/>
                <wp:cNvGraphicFramePr/>
                <a:graphic xmlns:a="http://schemas.openxmlformats.org/drawingml/2006/main">
                  <a:graphicData uri="http://schemas.microsoft.com/office/word/2010/wordprocessingShape">
                    <wps:wsp>
                      <wps:cNvSpPr txBox="1"/>
                      <wps:spPr>
                        <a:xfrm>
                          <a:off x="0" y="0"/>
                          <a:ext cx="4506595" cy="635"/>
                        </a:xfrm>
                        <a:prstGeom prst="rect">
                          <a:avLst/>
                        </a:prstGeom>
                        <a:solidFill>
                          <a:prstClr val="white"/>
                        </a:solidFill>
                        <a:ln>
                          <a:noFill/>
                        </a:ln>
                      </wps:spPr>
                      <wps:txbx>
                        <w:txbxContent>
                          <w:p w14:paraId="47EDE82E">
                            <w:pPr>
                              <w:pStyle w:val="2"/>
                              <w:rPr>
                                <w:rFonts w:ascii="Arial" w:hAnsi="Arial" w:cs="Arial"/>
                                <w:i/>
                                <w:iCs/>
                                <w:sz w:val="18"/>
                                <w:szCs w:val="18"/>
                              </w:rPr>
                            </w:pPr>
                            <w:r>
                              <w:rPr>
                                <w:rFonts w:ascii="Arial" w:hAnsi="Arial" w:cs="Arial"/>
                                <w:i/>
                                <w:iCs/>
                                <w:sz w:val="18"/>
                                <w:szCs w:val="18"/>
                              </w:rPr>
                              <w:t>Figure 9. A snapshot of training acceleration framework and expected training curve.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170.95pt;margin-top:178.85pt;height:0.05pt;width:354.85pt;mso-wrap-distance-bottom:0pt;mso-wrap-distance-left:9pt;mso-wrap-distance-right:9pt;mso-wrap-distance-top:0pt;z-index:251662336;mso-width-relative:page;mso-height-relative:page;" fillcolor="#FFFFFF" filled="t" stroked="f" coordsize="21600,21600" o:gfxdata="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Yzy9DbAAAADAEAAA8AAAAAAAAAAQAg&#10;AAAAIgAAAGRycy9kb3ducmV2LnhtbFBLAQIUABQAAAAIAIdO4kCBkXD5RAIAAHsEAAAOAAAAAAAA&#10;AAEAIAAAACoBAABkcnMvZTJvRG9jLnhtbFBLBQYAAAAABgAGAFkBAADgBQAAAAA=&#10;">
                <v:fill on="t" focussize="0,0"/>
                <v:stroke on="f"/>
                <v:imagedata o:title=""/>
                <o:lock v:ext="edit" aspectratio="f"/>
                <v:textbox inset="0mm,0mm,0mm,0mm" style="mso-fit-shape-to-text:t;">
                  <w:txbxContent>
                    <w:p w14:paraId="47EDE82E">
                      <w:pPr>
                        <w:pStyle w:val="2"/>
                        <w:rPr>
                          <w:rFonts w:ascii="Arial" w:hAnsi="Arial" w:cs="Arial"/>
                          <w:i/>
                          <w:iCs/>
                          <w:sz w:val="18"/>
                          <w:szCs w:val="18"/>
                        </w:rPr>
                      </w:pPr>
                      <w:r>
                        <w:rPr>
                          <w:rFonts w:ascii="Arial" w:hAnsi="Arial" w:cs="Arial"/>
                          <w:i/>
                          <w:iCs/>
                          <w:sz w:val="18"/>
                          <w:szCs w:val="18"/>
                        </w:rPr>
                        <w:t>Figure 9. A snapshot of training acceleration framework and expected training curve.</w:t>
                      </w:r>
                    </w:p>
                  </w:txbxContent>
                </v:textbox>
                <w10:wrap type="square"/>
              </v:shape>
            </w:pict>
          </mc:Fallback>
        </mc:AlternateContent>
      </w:r>
      <w:r>
        <w:rPr>
          <w:rFonts w:ascii="Arial" w:hAnsi="Arial" w:eastAsia="Arial Unicode MS" w:cs="Arial"/>
          <w:color w:val="000000"/>
          <w:sz w:val="22"/>
          <w:szCs w:val="22"/>
          <w:lang w:bidi="ar"/>
        </w:rPr>
        <w:t xml:space="preserve">In general, we propose a general framework for accelerating model training by focusing on the most informative regions of the sequence. First, we identify a “core” sequence—either through a naive threshold-based method or a small deep learning model designed to pinpoint functionally relevant segments (Figure 9A). During training, we retain these core regions while randomly sampling flanking regions as background sequence. This approach encourages the model to concentrate on the core sequence where most of the regulatory signals are found, yet still incorporates a subset of surrounding nucleotides for contextual information. By reducing the overall sequence length in each training batch, we can train with a larger batch size and improve computational efficiency. Moreover, by filtering out uninformative segments upfront, the model converges more rapidly, leading to faster and potentially more robust learning (Figure 9B). </w:t>
      </w:r>
    </w:p>
    <w:p w14:paraId="0DB7A1F5">
      <w:pPr>
        <w:spacing w:line="0" w:lineRule="atLeast"/>
        <w:jc w:val="both"/>
        <w:rPr>
          <w:rFonts w:ascii="Arial" w:hAnsi="Arial" w:eastAsia="Arial Unicode MS" w:cs="Arial"/>
          <w:b/>
          <w:bCs/>
          <w:color w:val="000000"/>
          <w:sz w:val="22"/>
          <w:szCs w:val="22"/>
          <w:lang w:bidi="ar"/>
        </w:rPr>
      </w:pPr>
      <w:r>
        <w:rPr>
          <w:rFonts w:ascii="Arial" w:hAnsi="Arial" w:eastAsia="Arial Unicode MS" w:cs="Arial"/>
          <w:b/>
          <w:bCs/>
          <w:color w:val="000000"/>
          <w:sz w:val="22"/>
          <w:szCs w:val="22"/>
          <w:lang w:bidi="ar"/>
        </w:rPr>
        <w:t>C.3.3: Expected Outcomes</w:t>
      </w:r>
    </w:p>
    <w:p w14:paraId="399A706B">
      <w:pPr>
        <w:spacing w:line="0" w:lineRule="atLeast"/>
        <w:jc w:val="both"/>
        <w:rPr>
          <w:rFonts w:ascii="Arial" w:hAnsi="Arial" w:eastAsia="Arial Unicode MS" w:cs="Arial"/>
          <w:color w:val="000000"/>
          <w:sz w:val="22"/>
          <w:szCs w:val="22"/>
          <w:lang w:bidi="ar"/>
        </w:rPr>
      </w:pPr>
      <w:r>
        <w:rPr>
          <w:rFonts w:ascii="Arial" w:hAnsi="Arial" w:eastAsia="Arial Unicode MS" w:cs="Arial"/>
          <w:color w:val="000000"/>
          <w:sz w:val="22"/>
          <w:szCs w:val="22"/>
          <w:lang w:bidi="ar"/>
        </w:rPr>
        <w:t>From a performance perspective, masking part of sequences is not beneficial for the deep learning model performance because some important region may didn’t annotated by our chosen signal. However, by filtering out uninformative regions at the outset, the model can devote more capacity to learning from genuinely relevant sequences, potentially keeping predictive power.</w:t>
      </w:r>
    </w:p>
    <w:p w14:paraId="0C832909">
      <w:pPr>
        <w:spacing w:line="0" w:lineRule="atLeast"/>
        <w:ind w:firstLine="420"/>
        <w:jc w:val="both"/>
        <w:rPr>
          <w:rFonts w:ascii="Arial" w:hAnsi="Arial" w:eastAsia="Arial Unicode MS" w:cs="Arial"/>
          <w:color w:val="000000"/>
          <w:sz w:val="22"/>
          <w:szCs w:val="22"/>
          <w:lang w:bidi="ar"/>
        </w:rPr>
      </w:pPr>
      <w:r>
        <w:rPr>
          <w:rFonts w:ascii="Arial" w:hAnsi="Arial" w:eastAsia="Arial Unicode MS" w:cs="Arial"/>
          <w:color w:val="000000"/>
          <w:sz w:val="22"/>
          <w:szCs w:val="22"/>
          <w:lang w:bidi="ar"/>
        </w:rPr>
        <w:t>In terms of efficiency, replacing large sections of non-critical sequence with a single mask token—augmented with distance information—dramatically reduces the number of tokens fed into the model. This compression can allow for much longer genomic contexts to be processed at once, potentially doubling or tripling the effective input length without a corresponding increase in computational cost. Furthermore, once this initial pruning is performed, the techniques outlined in Aims 1 and 2 can be applied to further streamline token usage, ultimately enabling entire chromosomes to be processed if desired.</w:t>
      </w:r>
    </w:p>
    <w:p w14:paraId="0EEB32A0">
      <w:pPr>
        <w:spacing w:line="0" w:lineRule="atLeast"/>
        <w:ind w:firstLine="420"/>
        <w:jc w:val="both"/>
        <w:rPr>
          <w:rFonts w:ascii="Arial" w:hAnsi="Arial" w:eastAsia="Arial Unicode MS" w:cs="Arial"/>
          <w:color w:val="000000"/>
          <w:sz w:val="22"/>
          <w:szCs w:val="22"/>
          <w:lang w:bidi="ar"/>
        </w:rPr>
      </w:pPr>
      <w:r>
        <w:rPr>
          <w:rFonts w:ascii="Arial" w:hAnsi="Arial" w:eastAsia="Arial Unicode MS" w:cs="Arial"/>
          <w:color w:val="000000"/>
          <w:sz w:val="22"/>
          <w:szCs w:val="22"/>
          <w:lang w:bidi="ar"/>
        </w:rPr>
        <w:t>Regarding interpretability, this approach offers a middle ground. While it may not be as straightforward as entropy-based token merging (Aim 1) or model-based pruning (Aim 2), the deep learning model responsible for masking decisions can still provide insight into which biological signals triggered the pruning. Observing how certain histone modifications or regulatory markers lead to masking decisions can still reveal which genomic features most strongly influence the downstream task.</w:t>
      </w:r>
    </w:p>
    <w:p w14:paraId="58CCDEC9">
      <w:pPr>
        <w:spacing w:line="0" w:lineRule="atLeast"/>
        <w:jc w:val="both"/>
        <w:rPr>
          <w:rFonts w:ascii="Arial" w:hAnsi="Arial" w:eastAsia="Arial Unicode MS" w:cs="Arial"/>
          <w:b/>
          <w:bCs/>
          <w:color w:val="000000"/>
          <w:sz w:val="22"/>
          <w:szCs w:val="22"/>
          <w:lang w:bidi="ar"/>
        </w:rPr>
      </w:pPr>
      <w:r>
        <w:rPr>
          <w:rFonts w:ascii="Arial" w:hAnsi="Arial" w:eastAsia="Arial Unicode MS" w:cs="Arial"/>
          <w:b/>
          <w:bCs/>
          <w:color w:val="000000"/>
          <w:sz w:val="22"/>
          <w:szCs w:val="22"/>
          <w:lang w:bidi="ar"/>
        </w:rPr>
        <w:t>C.3.4: Potential Pitfalls and Alternative Approaches</w:t>
      </w:r>
    </w:p>
    <w:p w14:paraId="79792021">
      <w:pPr>
        <w:spacing w:line="0" w:lineRule="atLeast"/>
        <w:jc w:val="both"/>
        <w:rPr>
          <w:rFonts w:ascii="Arial" w:hAnsi="Arial" w:eastAsia="Arial Unicode MS" w:cs="Arial"/>
          <w:color w:val="000000"/>
          <w:sz w:val="22"/>
          <w:szCs w:val="22"/>
          <w:lang w:bidi="ar"/>
        </w:rPr>
      </w:pPr>
      <w:r>
        <w:rPr>
          <w:rFonts w:ascii="Arial" w:hAnsi="Arial" w:eastAsia="Arial Unicode MS" w:cs="Arial"/>
          <w:color w:val="000000"/>
          <w:sz w:val="22"/>
          <w:szCs w:val="22"/>
          <w:lang w:bidi="ar"/>
        </w:rPr>
        <w:t>A key limitation of this method is its reliance on biological data. If such data are unavailable or incomplete, it becomes more challenging to determine which regions should be masked. In these cases, other proxies for functional relevance may be necessary. One possibility is to use conservation scores derived from multiple sequence alignments (MSAs)</w:t>
      </w:r>
      <w:r>
        <w:rPr>
          <w:rFonts w:ascii="Arial" w:hAnsi="Arial" w:eastAsia="Arial Unicode MS" w:cs="Arial"/>
          <w:color w:val="000000"/>
          <w:sz w:val="22"/>
          <w:szCs w:val="22"/>
          <w:lang w:bidi="ar"/>
        </w:rPr>
        <w:fldChar w:fldCharType="begin"/>
      </w:r>
      <w:r>
        <w:rPr>
          <w:rFonts w:ascii="Arial" w:hAnsi="Arial" w:eastAsia="Arial Unicode MS" w:cs="Arial"/>
          <w:color w:val="000000"/>
          <w:sz w:val="22"/>
          <w:szCs w:val="22"/>
          <w:lang w:bidi="ar"/>
        </w:rPr>
        <w:instrText xml:space="preserve"> ADDIN ZOTERO_ITEM CSL_CITATION {"citationID":"s4RsCbk9","properties":{"formattedCitation":"\\super 55,56\\nosupersub{}","plainCitation":"55,56","noteIndex":0},"citationItems":[{"id":2690,"uris":["http://zotero.org/users/13012598/items/4BA8SUIC"],"itemData":{"id":2690,"type":"article-journal","abstract":"Proteins are essential to life, and understanding their structure can facilitate a mechanistic understanding of their function. Through an enormous experimental effort1–4, the structures of around 100,000 unique proteins have been determined5, but this represents a small fraction of the billions of known protein sequences6,7. Structural coverage is bottlenecked by the months to years of painstaking effort required to determine a single protein structure. Accurate computational approaches are needed to address this gap and to enable large-scale structural bioinformatics. Predicting the three-dimensional structure that a protein will adopt based solely on its amino acid sequence—the structure prediction component of the ‘protein folding problem’8—has been an important open research problem for more than 50 years9. Despite recent progress10–14, existing methods fall far short of atomic accuracy, especially when no homologous structure is available. Here we provide the first computational method that can regularly predict protein structures with atomic accuracy even in cases in which no similar structure is known. We validated an entirely redesigned version of our neural network-based model, AlphaFold, in the challenging 14th Critical Assessment of protein Structure Prediction (CASP14)15, demonstrating accuracy competitive with experimental structures in a majority of cases and greatly outperforming other methods. Underpinning the latest version of AlphaFold is a novel machine learning approach that incorporates physical and biological knowledge about protein structure, leveraging multi-sequence alignments, into the design of the deep learning algorithm.","container-title":"Nature","DOI":"10.1038/s41586-021-03819-2","ISSN":"1476-4687","issue":"7873","language":"en","license":"2021 The Author(s)","note":"publisher: Nature Publishing Group","page":"583-589","source":"www.nature.com","title":"Highly accurate protein structure prediction with AlphaFold","volume":"596","author":[{"family":"Jumper","given":"John"},{"family":"Evans","given":"Richard"},{"family":"Pritzel","given":"Alexander"},{"family":"Green","given":"Tim"},{"family":"Figurnov","given":"Michael"},{"family":"Ronneberger","given":"Olaf"},{"family":"Tunyasuvunakool","given":"Kathryn"},{"family":"Bates","given":"Russ"},{"family":"Žídek","given":"Augustin"},{"family":"Potapenko","given":"Anna"},{"family":"Bridgland","given":"Alex"},{"family":"Meyer","given":"Clemens"},{"family":"Kohl","given":"Simon A. A."},{"family":"Ballard","given":"Andrew J."},{"family":"Cowie","given":"Andrew"},{"family":"Romera-Paredes","given":"Bernardino"},{"family":"Nikolov","given":"Stanislav"},{"family":"Jain","given":"Rishub"},{"family":"Adler","given":"Jonas"},{"family":"Back","given":"Trevor"},{"family":"Petersen","given":"Stig"},{"family":"Reiman","given":"David"},{"family":"Clancy","given":"Ellen"},{"family":"Zielinski","given":"Michal"},{"family":"Steinegger","given":"Martin"},{"family":"Pacholska","given":"Michalina"},{"family":"Berghammer","given":"Tamas"},{"family":"Bodenstein","given":"Sebastian"},{"family":"Silver","given":"David"},{"family":"Vinyals","given":"Oriol"},{"family":"Senior","given":"Andrew W."},{"family":"Kavukcuoglu","given":"Koray"},{"family":"Kohli","given":"Pushmeet"},{"family":"Hassabis","given":"Demis"}],"issued":{"date-parts":[["2021",8]]}}},{"id":26,"uris":["http://zotero.org/users/13012598/items/PYBKN9KF"],"itemData":{"id":26,"type":"article","abstract":"Whereas protein language models have demonstrated remarkable efficacy in predicting the effects of missense variants, DNA counterparts have not yet achieved a similar competitive edge for genome-wide variant effect predictions, especially in complex genomes such as that of humans. To address this challenge, we here introduce GPN-MSA, a novel framework for DNA language models that leverages whole-genome sequence alignments across multiple species and takes only a few hours to train. Across several benchmarks on clinical databases (ClinVar, COSMIC, and OMIM) and population genomic data (gnomAD), our model for the human genome achieves outstanding performance on deleteriousness prediction for both coding and non-coding variants.","DOI":"10.1101/2023.10.10.561776","language":"en","license":"© 2023, Posted by Cold Spring Harbor Laboratory. This pre-print is available under a Creative Commons License (Attribution-NonCommercial-NoDerivs 4.0 International), CC BY-NC-ND 4.0, as described at http://creativecommons.org/licenses/by-nc-nd/4.0/","note":"page: 2023.10.10.561776\nsection: New Results","publisher":"bioRxiv","source":"bioRxiv","title":"GPN-MSA: an alignment-based DNA language model for genome-wide variant effect prediction","title-short":"GPN-MSA","URL":"https://www.biorxiv.org/content/10.1101/2023.10.10.561776v1","author":[{"family":"Benegas","given":"Gonzalo"},{"family":"Albors","given":"Carlos"},{"family":"Aw","given":"Alan J."},{"family":"Ye","given":"Chengzhong"},{"family":"Song","given":"Yun S."}],"accessed":{"date-parts":[["2023",11,5]]},"issued":{"date-parts":[["2023",10,11]]}}}],"schema":"https://github.com/citation-style-language/schema/raw/master/csl-citation.json"} </w:instrText>
      </w:r>
      <w:r>
        <w:rPr>
          <w:rFonts w:ascii="Arial" w:hAnsi="Arial" w:eastAsia="Arial Unicode MS" w:cs="Arial"/>
          <w:color w:val="000000"/>
          <w:sz w:val="22"/>
          <w:szCs w:val="22"/>
          <w:lang w:bidi="ar"/>
        </w:rPr>
        <w:fldChar w:fldCharType="separate"/>
      </w:r>
      <w:r>
        <w:rPr>
          <w:rFonts w:ascii="Arial" w:hAnsi="Arial" w:cs="Arial"/>
          <w:color w:val="000000"/>
          <w:sz w:val="22"/>
          <w:vertAlign w:val="superscript"/>
        </w:rPr>
        <w:t>55,56</w:t>
      </w:r>
      <w:r>
        <w:rPr>
          <w:rFonts w:ascii="Arial" w:hAnsi="Arial" w:eastAsia="Arial Unicode MS" w:cs="Arial"/>
          <w:color w:val="000000"/>
          <w:sz w:val="22"/>
          <w:szCs w:val="22"/>
          <w:lang w:bidi="ar"/>
        </w:rPr>
        <w:fldChar w:fldCharType="end"/>
      </w:r>
      <w:r>
        <w:rPr>
          <w:rFonts w:ascii="Arial" w:hAnsi="Arial" w:eastAsia="Arial Unicode MS" w:cs="Arial"/>
          <w:color w:val="000000"/>
          <w:sz w:val="22"/>
          <w:szCs w:val="22"/>
          <w:lang w:bidi="ar"/>
        </w:rPr>
        <w:t xml:space="preserve">, as </w:t>
      </w:r>
      <w:bookmarkStart w:id="2" w:name="_Hlk192945217"/>
      <w:r>
        <w:rPr>
          <w:rFonts w:ascii="Arial" w:hAnsi="Arial" w:eastAsia="Arial Unicode MS" w:cs="Arial"/>
          <w:color w:val="000000"/>
          <w:sz w:val="22"/>
          <w:szCs w:val="22"/>
          <w:lang w:bidi="ar"/>
        </w:rPr>
        <w:t>conserve</w:t>
      </w:r>
      <w:bookmarkEnd w:id="2"/>
      <w:r>
        <w:rPr>
          <w:rFonts w:ascii="Arial" w:hAnsi="Arial" w:eastAsia="Arial Unicode MS" w:cs="Arial"/>
          <w:color w:val="000000"/>
          <w:sz w:val="22"/>
          <w:szCs w:val="22"/>
          <w:lang w:bidi="ar"/>
        </w:rPr>
        <w:t>d regions</w:t>
      </w:r>
      <w:r>
        <w:rPr>
          <w:rFonts w:ascii="Arial" w:hAnsi="Arial" w:eastAsia="Arial Unicode MS" w:cs="Arial"/>
          <w:color w:val="000000"/>
          <w:sz w:val="22"/>
          <w:szCs w:val="22"/>
          <w:lang w:bidi="ar"/>
        </w:rPr>
        <w:fldChar w:fldCharType="begin"/>
      </w:r>
      <w:r>
        <w:rPr>
          <w:rFonts w:ascii="Arial" w:hAnsi="Arial" w:eastAsia="Arial Unicode MS" w:cs="Arial"/>
          <w:color w:val="000000"/>
          <w:sz w:val="22"/>
          <w:szCs w:val="22"/>
          <w:lang w:bidi="ar"/>
        </w:rPr>
        <w:instrText xml:space="preserve"> ADDIN ZOTERO_ITEM CSL_CITATION {"citationID":"1sfvQ8JN","properties":{"formattedCitation":"\\super 57\\nosupersub{}","plainCitation":"57","noteIndex":0},"citationItems":[{"id":2720,"uris":["http://zotero.org/users/13012598/items/D6VCY3N6"],"itemData":{"id":2720,"type":"article-journal","abstract":"The unprecedented rate of extinction calls for efficient use of genetics to help conserve biodiversity. Several recent genomic and simulation-based studies have argued that the field of conservation biology has placed too much focus on conserving genome-wide genetic variation, and that the field should instead focus on managing the subset of functional genetic variation that is thought to affect fitness. Here, we critically evaluate the feasibility and likely benefits of this approach in conservation. We find that population genetics theory and empirical results show that conserving genome-wide genetic variation is generally the best approach to prevent inbreeding depression and loss of adaptive potential from driving populations toward extinction. Focusing conservation efforts on presumably functional genetic variation will only be feasible occasionally, often misleading, and counterproductive when prioritized over genome-wide genetic variation. Given the increasing rate of habitat loss and other environmental changes, failure to recognize the detrimental effects of lost genome-wide genetic variation on long-term population viability will only worsen the biodiversity crisis.","container-title":"Proceedings of the National Academy of Sciences","DOI":"10.1073/pnas.2104642118","issue":"48","note":"publisher: Proceedings of the National Academy of Sciences","page":"e2104642118","source":"pnas.org (Atypon)","title":"The crucial role of genome-wide genetic variation in conservation","volume":"118","author":[{"family":"Kardos","given":"Marty"},{"family":"Armstrong","given":"Ellie E."},{"family":"Fitzpatrick","given":"Sarah W."},{"family":"Hauser","given":"Samantha"},{"family":"Hedrick","given":"Philip W."},{"family":"Miller","given":"Joshua M."},{"family":"Tallmon","given":"David A."},{"family":"Funk","given":"W. Chris"}],"issued":{"date-parts":[["2021",11,30]]}}}],"schema":"https://github.com/citation-style-language/schema/raw/master/csl-citation.json"} </w:instrText>
      </w:r>
      <w:r>
        <w:rPr>
          <w:rFonts w:ascii="Arial" w:hAnsi="Arial" w:eastAsia="Arial Unicode MS" w:cs="Arial"/>
          <w:color w:val="000000"/>
          <w:sz w:val="22"/>
          <w:szCs w:val="22"/>
          <w:lang w:bidi="ar"/>
        </w:rPr>
        <w:fldChar w:fldCharType="separate"/>
      </w:r>
      <w:r>
        <w:rPr>
          <w:rFonts w:ascii="Arial" w:hAnsi="Arial" w:cs="Arial"/>
          <w:color w:val="000000"/>
          <w:sz w:val="22"/>
          <w:vertAlign w:val="superscript"/>
        </w:rPr>
        <w:t>57</w:t>
      </w:r>
      <w:r>
        <w:rPr>
          <w:rFonts w:ascii="Arial" w:hAnsi="Arial" w:eastAsia="Arial Unicode MS" w:cs="Arial"/>
          <w:color w:val="000000"/>
          <w:sz w:val="22"/>
          <w:szCs w:val="22"/>
          <w:lang w:bidi="ar"/>
        </w:rPr>
        <w:fldChar w:fldCharType="end"/>
      </w:r>
      <w:r>
        <w:rPr>
          <w:rFonts w:ascii="Arial" w:hAnsi="Arial" w:eastAsia="Arial Unicode MS" w:cs="Arial"/>
          <w:color w:val="000000"/>
          <w:sz w:val="22"/>
          <w:szCs w:val="22"/>
          <w:lang w:bidi="ar"/>
        </w:rPr>
        <w:t xml:space="preserve"> often correlate with regulatory or functional importance in both protein and non-coding genomic contexts. Another option is to rely on annotations from a closely related cell type or organism, using </w:t>
      </w:r>
      <w:bookmarkStart w:id="3" w:name="_Hlk192945254"/>
      <w:r>
        <w:rPr>
          <w:rFonts w:ascii="Arial" w:hAnsi="Arial" w:eastAsia="Arial Unicode MS" w:cs="Arial"/>
          <w:color w:val="000000"/>
          <w:sz w:val="22"/>
          <w:szCs w:val="22"/>
          <w:lang w:bidi="ar"/>
        </w:rPr>
        <w:t>chromatin state</w:t>
      </w:r>
      <w:bookmarkEnd w:id="3"/>
      <w:r>
        <w:rPr>
          <w:rFonts w:ascii="Arial" w:hAnsi="Arial" w:eastAsia="Arial Unicode MS" w:cs="Arial"/>
          <w:color w:val="000000"/>
          <w:sz w:val="22"/>
          <w:szCs w:val="22"/>
          <w:lang w:bidi="ar"/>
        </w:rPr>
        <w:fldChar w:fldCharType="begin"/>
      </w:r>
      <w:r>
        <w:rPr>
          <w:rFonts w:ascii="Arial" w:hAnsi="Arial" w:eastAsia="Arial Unicode MS" w:cs="Arial"/>
          <w:color w:val="000000"/>
          <w:sz w:val="22"/>
          <w:szCs w:val="22"/>
          <w:lang w:bidi="ar"/>
        </w:rPr>
        <w:instrText xml:space="preserve"> ADDIN ZOTERO_ITEM CSL_CITATION {"citationID":"sb1dXswR","properties":{"formattedCitation":"\\super 58\\nosupersub{}","plainCitation":"58","noteIndex":0},"citationItems":[{"id":2722,"uris":["http://zotero.org/users/13012598/items/7KE5F7IU"],"itemData":{"id":2722,"type":"article-journal","abstract":"The recent development of experimental methods for measuring chromatin state at single-cell resolution has created a need for computational tools capable of analyzing these datasets. Here we developed Signac, a comprehensive toolkit for the analysis of single-cell chromatin data. Signac enables an end-to-end analysis of single-cell chromatin data, including peak calling, quantification, quality control, dimension reduction, clustering, integration with single-cell gene expression datasets, DNA motif analysis and interactive visualization. Through its seamless compatibility with the Seurat package, Signac facilitates the analysis of diverse multimodal single-cell chromatin data, including datasets that co-assay DNA accessibility with gene expression, protein abundance and mitochondrial genotype. We demonstrate scaling of the Signac framework to analyze datasets containing over 700,000 cells.","container-title":"Nature Methods","DOI":"10.1038/s41592-021-01282-5","ISSN":"1548-7105","issue":"11","journalAbbreviation":"Nat Methods","language":"en","license":"2021 The Author(s), under exclusive licence to Springer Nature America, Inc.","note":"publisher: Nature Publishing Group","page":"1333-1341","source":"www.nature.com","title":"Single-cell chromatin state analysis with Signac","volume":"18","author":[{"family":"Stuart","given":"Tim"},{"family":"Srivastava","given":"Avi"},{"family":"Madad","given":"Shaista"},{"family":"Lareau","given":"Caleb A."},{"family":"Satija","given":"Rahul"}],"issued":{"date-parts":[["2021",11]]}}}],"schema":"https://github.com/citation-style-language/schema/raw/master/csl-citation.json"} </w:instrText>
      </w:r>
      <w:r>
        <w:rPr>
          <w:rFonts w:ascii="Arial" w:hAnsi="Arial" w:eastAsia="Arial Unicode MS" w:cs="Arial"/>
          <w:color w:val="000000"/>
          <w:sz w:val="22"/>
          <w:szCs w:val="22"/>
          <w:lang w:bidi="ar"/>
        </w:rPr>
        <w:fldChar w:fldCharType="separate"/>
      </w:r>
      <w:r>
        <w:rPr>
          <w:rFonts w:ascii="Arial" w:hAnsi="Arial" w:cs="Arial"/>
          <w:color w:val="000000"/>
          <w:sz w:val="22"/>
          <w:vertAlign w:val="superscript"/>
        </w:rPr>
        <w:t>58</w:t>
      </w:r>
      <w:r>
        <w:rPr>
          <w:rFonts w:ascii="Arial" w:hAnsi="Arial" w:eastAsia="Arial Unicode MS" w:cs="Arial"/>
          <w:color w:val="000000"/>
          <w:sz w:val="22"/>
          <w:szCs w:val="22"/>
          <w:lang w:bidi="ar"/>
        </w:rPr>
        <w:fldChar w:fldCharType="end"/>
      </w:r>
      <w:r>
        <w:rPr>
          <w:rFonts w:ascii="Arial" w:hAnsi="Arial" w:eastAsia="Arial Unicode MS" w:cs="Arial"/>
          <w:color w:val="000000"/>
          <w:sz w:val="22"/>
          <w:szCs w:val="22"/>
          <w:lang w:bidi="ar"/>
        </w:rPr>
        <w:t xml:space="preserve"> or similar regulatory profiles to guide masking decisions. By combining these alternative signals, researchers can still benefit from token reduction strategies, even when direct biological data are limited.</w:t>
      </w:r>
    </w:p>
    <w:p w14:paraId="7913AF2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A42F3"/>
    <w:rsid w:val="402F14D9"/>
    <w:rsid w:val="63BA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unhideWhenUsed/>
    <w:qFormat/>
    <w:uiPriority w:val="0"/>
    <w:pPr>
      <w:widowControl w:val="0"/>
      <w:jc w:val="both"/>
    </w:pPr>
    <w:rPr>
      <w:rFonts w:eastAsia="黑体" w:asciiTheme="majorHAnsi" w:hAnsiTheme="majorHAnsi" w:cstheme="majorBidi"/>
      <w:kern w:val="2"/>
      <w:sz w:val="20"/>
      <w:szCs w:val="20"/>
    </w:rPr>
  </w:style>
  <w:style w:type="character" w:customStyle="1" w:styleId="5">
    <w:name w:val="vlist-s"/>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2025-03-18T12:49:00Z</dcterms:created>
  <dc:creator>高文佳</dc:creator>
  <cp:lastModifiedBy>高文佳</cp:lastModifiedBy>
  <dcterms:modified xsi:type="dcterms:W3CDTF">2025-03-18T12:49:23Z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257979F3428F4E21A57D46CF2BBE90C1_11</vt:lpwstr>
  </property>
</Properties>
</file>