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b w:val="1"/>
          <w:bCs w:val="1"/>
          <w:color w:val="0b2545"/>
          <w:sz w:val="48"/>
          <w:szCs w:val="48"/>
          <w:rtl w:val="0"/>
        </w:rPr>
        <w:t xml:space="preserve">Arquitectura de Datos Recomendada</w:t>
      </w:r>
      <w:r w:rsidDel="00000000" w:rsidR="00000000" w:rsidRPr="00000000">
        <w:rPr>
          <w:rtl w:val="0"/>
        </w:rPr>
      </w:r>
    </w:p>
    <w:p w:rsidR="00000000" w:rsidDel="00000000" w:rsidP="00000000" w:rsidRDefault="00000000" w:rsidRPr="00000000" w14:paraId="00000002">
      <w:pPr>
        <w:rPr/>
      </w:pPr>
      <w:r w:rsidDel="00000000" w:rsidR="00000000" w:rsidRPr="00000000">
        <w:rPr>
          <w:color w:val="555555"/>
          <w:rtl w:val="0"/>
        </w:rPr>
        <w:t xml:space="preserve">Informe breve para proyecto de ciencia de datos</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tbl>
      <w:tblPr>
        <w:tblStyle w:val="Table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shd w:fill="f4f6f9" w:val="clear"/>
            <w:tcMar>
              <w:top w:w="80.0" w:type="dxa"/>
              <w:left w:w="120.0" w:type="dxa"/>
              <w:bottom w:w="80.0" w:type="dxa"/>
              <w:right w:w="120.0" w:type="dxa"/>
            </w:tcMar>
            <w:vAlign w:val="center"/>
          </w:tcPr>
          <w:p w:rsidR="00000000" w:rsidDel="00000000" w:rsidP="00000000" w:rsidRDefault="00000000" w:rsidRPr="00000000" w14:paraId="00000004">
            <w:pPr>
              <w:spacing w:after="60" w:lineRule="auto"/>
              <w:rPr/>
            </w:pPr>
            <w:r w:rsidDel="00000000" w:rsidR="00000000" w:rsidRPr="00000000">
              <w:rPr>
                <w:b w:val="1"/>
                <w:bCs w:val="1"/>
                <w:color w:val="1f4d78"/>
                <w:rtl w:val="0"/>
              </w:rPr>
              <w:t xml:space="preserve">Recomendación: </w:t>
            </w:r>
            <w:r w:rsidDel="00000000" w:rsidR="00000000" w:rsidRPr="00000000">
              <w:rPr>
                <w:rtl w:val="0"/>
              </w:rPr>
              <w:t xml:space="preserve">Para un proyecto de ciencia de datos con múltiples fuentes, la opción más adecuada es un Pipeline Híbrido Modular apoyado en un Lakehouse. Esta elección combina flexibilidad de ingestión, almacenamiento unificado y preparación ordenada para analitica y machine learning.</w:t>
            </w:r>
          </w:p>
        </w:tc>
      </w:tr>
    </w:tbl>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1"/>
        <w:rPr/>
      </w:pPr>
      <w:r w:rsidDel="00000000" w:rsidR="00000000" w:rsidRPr="00000000">
        <w:rPr>
          <w:rtl w:val="0"/>
        </w:rPr>
        <w:t xml:space="preserve">1. Contexto del proyecto</w:t>
      </w:r>
    </w:p>
    <w:p w:rsidR="00000000" w:rsidDel="00000000" w:rsidP="00000000" w:rsidRDefault="00000000" w:rsidRPr="00000000" w14:paraId="00000007">
      <w:pPr>
        <w:rPr/>
      </w:pPr>
      <w:r w:rsidDel="00000000" w:rsidR="00000000" w:rsidRPr="00000000">
        <w:rPr>
          <w:rtl w:val="0"/>
        </w:rPr>
        <w:t xml:space="preserve">El proyecto requiere integrar datos provenientes de bases relacionales, archivos, APIs, registros de aplicaciones y posibles flujos en tiempo real. En este escenario, la arquitectura debe soportar variedad de formatos, crecimiento progresivo, trazabilidad, reprocesamiento y consumo por analistas, científicos de datos y aplicaciones.</w:t>
      </w:r>
    </w:p>
    <w:p w:rsidR="00000000" w:rsidDel="00000000" w:rsidP="00000000" w:rsidRDefault="00000000" w:rsidRPr="00000000" w14:paraId="00000008">
      <w:pPr>
        <w:pStyle w:val="Heading1"/>
        <w:rPr/>
      </w:pPr>
      <w:r w:rsidDel="00000000" w:rsidR="00000000" w:rsidRPr="00000000">
        <w:rPr>
          <w:rtl w:val="0"/>
        </w:rPr>
        <w:t xml:space="preserve">2. Comparación de alternativas</w:t>
      </w:r>
    </w:p>
    <w:tbl>
      <w:tblPr>
        <w:tblStyle w:val="Table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2520"/>
        <w:gridCol w:w="2520"/>
        <w:gridCol w:w="2520"/>
        <w:tblGridChange w:id="0">
          <w:tblGrid>
            <w:gridCol w:w="1800"/>
            <w:gridCol w:w="2520"/>
            <w:gridCol w:w="2520"/>
            <w:gridCol w:w="2520"/>
          </w:tblGrid>
        </w:tblGridChange>
      </w:tblGrid>
      <w:tr>
        <w:trPr>
          <w:cantSplit w:val="0"/>
          <w:tblHeader w:val="0"/>
        </w:trPr>
        <w:tc>
          <w:tcPr>
            <w:shd w:fill="f2f4f7" w:val="clear"/>
            <w:tcMar>
              <w:top w:w="80.0" w:type="dxa"/>
              <w:left w:w="120.0" w:type="dxa"/>
              <w:bottom w:w="80.0" w:type="dxa"/>
              <w:right w:w="120.0" w:type="dxa"/>
            </w:tcMar>
            <w:vAlign w:val="center"/>
          </w:tcPr>
          <w:p w:rsidR="00000000" w:rsidDel="00000000" w:rsidP="00000000" w:rsidRDefault="00000000" w:rsidRPr="00000000" w14:paraId="00000009">
            <w:pPr>
              <w:jc w:val="center"/>
              <w:rPr/>
            </w:pPr>
            <w:r w:rsidDel="00000000" w:rsidR="00000000" w:rsidRPr="00000000">
              <w:rPr>
                <w:b w:val="1"/>
                <w:bCs w:val="1"/>
                <w:color w:val="282828"/>
                <w:rtl w:val="0"/>
              </w:rPr>
              <w:t xml:space="preserve">Arquitectura</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00A">
            <w:pPr>
              <w:jc w:val="center"/>
              <w:rPr/>
            </w:pPr>
            <w:r w:rsidDel="00000000" w:rsidR="00000000" w:rsidRPr="00000000">
              <w:rPr>
                <w:b w:val="1"/>
                <w:bCs w:val="1"/>
                <w:color w:val="282828"/>
                <w:rtl w:val="0"/>
              </w:rPr>
              <w:t xml:space="preserve">Fortalezas</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00B">
            <w:pPr>
              <w:jc w:val="center"/>
              <w:rPr/>
            </w:pPr>
            <w:r w:rsidDel="00000000" w:rsidR="00000000" w:rsidRPr="00000000">
              <w:rPr>
                <w:b w:val="1"/>
                <w:bCs w:val="1"/>
                <w:color w:val="282828"/>
                <w:rtl w:val="0"/>
              </w:rPr>
              <w:t xml:space="preserve">Limitaciones</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00C">
            <w:pPr>
              <w:jc w:val="center"/>
              <w:rPr/>
            </w:pPr>
            <w:r w:rsidDel="00000000" w:rsidR="00000000" w:rsidRPr="00000000">
              <w:rPr>
                <w:b w:val="1"/>
                <w:bCs w:val="1"/>
                <w:color w:val="282828"/>
                <w:rtl w:val="0"/>
              </w:rPr>
              <w:t xml:space="preserve">Adecuacion al proyecto</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0D">
            <w:pPr>
              <w:spacing w:after="0" w:lineRule="auto"/>
              <w:rPr/>
            </w:pPr>
            <w:r w:rsidDel="00000000" w:rsidR="00000000" w:rsidRPr="00000000">
              <w:rPr>
                <w:rtl w:val="0"/>
              </w:rPr>
              <w:t xml:space="preserve">Lambda</w:t>
            </w:r>
          </w:p>
        </w:tc>
        <w:tc>
          <w:tcPr>
            <w:tcMar>
              <w:top w:w="80.0" w:type="dxa"/>
              <w:left w:w="120.0" w:type="dxa"/>
              <w:bottom w:w="80.0" w:type="dxa"/>
              <w:right w:w="120.0" w:type="dxa"/>
            </w:tcMar>
            <w:vAlign w:val="center"/>
          </w:tcPr>
          <w:p w:rsidR="00000000" w:rsidDel="00000000" w:rsidP="00000000" w:rsidRDefault="00000000" w:rsidRPr="00000000" w14:paraId="0000000E">
            <w:pPr>
              <w:spacing w:after="0" w:lineRule="auto"/>
              <w:rPr/>
            </w:pPr>
            <w:r w:rsidDel="00000000" w:rsidR="00000000" w:rsidRPr="00000000">
              <w:rPr>
                <w:rtl w:val="0"/>
              </w:rPr>
              <w:t xml:space="preserve">Separa procesamiento batch y streaming; útil cuando se necesita baja latencia junto con recálculo histórico.</w:t>
            </w:r>
          </w:p>
        </w:tc>
        <w:tc>
          <w:tcPr>
            <w:tcMar>
              <w:top w:w="80.0" w:type="dxa"/>
              <w:left w:w="120.0" w:type="dxa"/>
              <w:bottom w:w="80.0" w:type="dxa"/>
              <w:right w:w="120.0" w:type="dxa"/>
            </w:tcMar>
            <w:vAlign w:val="center"/>
          </w:tcPr>
          <w:p w:rsidR="00000000" w:rsidDel="00000000" w:rsidP="00000000" w:rsidRDefault="00000000" w:rsidRPr="00000000" w14:paraId="0000000F">
            <w:pPr>
              <w:spacing w:after="0" w:lineRule="auto"/>
              <w:rPr/>
            </w:pPr>
            <w:r w:rsidDel="00000000" w:rsidR="00000000" w:rsidRPr="00000000">
              <w:rPr>
                <w:rtl w:val="0"/>
              </w:rPr>
              <w:t xml:space="preserve">Duplica lógica entre capas batch y speed; aumenta mantenimiento y costos operativos.</w:t>
            </w:r>
          </w:p>
        </w:tc>
        <w:tc>
          <w:tcPr>
            <w:tcMar>
              <w:top w:w="80.0" w:type="dxa"/>
              <w:left w:w="120.0" w:type="dxa"/>
              <w:bottom w:w="80.0" w:type="dxa"/>
              <w:right w:w="120.0" w:type="dxa"/>
            </w:tcMar>
            <w:vAlign w:val="center"/>
          </w:tcPr>
          <w:p w:rsidR="00000000" w:rsidDel="00000000" w:rsidP="00000000" w:rsidRDefault="00000000" w:rsidRPr="00000000" w14:paraId="00000010">
            <w:pPr>
              <w:spacing w:after="0" w:lineRule="auto"/>
              <w:rPr/>
            </w:pPr>
            <w:r w:rsidDel="00000000" w:rsidR="00000000" w:rsidRPr="00000000">
              <w:rPr>
                <w:rtl w:val="0"/>
              </w:rPr>
              <w:t xml:space="preserve">Adecuada solo si el tiempo real estricto es una prioridad dominante. Para este proyecto puede ser más complejo de lo necesario.</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11">
            <w:pPr>
              <w:spacing w:after="0" w:lineRule="auto"/>
              <w:rPr/>
            </w:pPr>
            <w:r w:rsidDel="00000000" w:rsidR="00000000" w:rsidRPr="00000000">
              <w:rPr>
                <w:rtl w:val="0"/>
              </w:rPr>
              <w:t xml:space="preserve">Lakehouse</w:t>
            </w:r>
          </w:p>
        </w:tc>
        <w:tc>
          <w:tcPr>
            <w:tcMar>
              <w:top w:w="80.0" w:type="dxa"/>
              <w:left w:w="120.0" w:type="dxa"/>
              <w:bottom w:w="80.0" w:type="dxa"/>
              <w:right w:w="120.0" w:type="dxa"/>
            </w:tcMar>
            <w:vAlign w:val="center"/>
          </w:tcPr>
          <w:p w:rsidR="00000000" w:rsidDel="00000000" w:rsidP="00000000" w:rsidRDefault="00000000" w:rsidRPr="00000000" w14:paraId="00000012">
            <w:pPr>
              <w:spacing w:after="0" w:lineRule="auto"/>
              <w:rPr/>
            </w:pPr>
            <w:r w:rsidDel="00000000" w:rsidR="00000000" w:rsidRPr="00000000">
              <w:rPr>
                <w:rtl w:val="0"/>
              </w:rPr>
              <w:t xml:space="preserve">Unifica data lake y data warehouse; permite datos crudos y curados, consultas analíticas, gobierno y soporte para ML.</w:t>
            </w:r>
          </w:p>
        </w:tc>
        <w:tc>
          <w:tcPr>
            <w:tcMar>
              <w:top w:w="80.0" w:type="dxa"/>
              <w:left w:w="120.0" w:type="dxa"/>
              <w:bottom w:w="80.0" w:type="dxa"/>
              <w:right w:w="120.0" w:type="dxa"/>
            </w:tcMar>
            <w:vAlign w:val="center"/>
          </w:tcPr>
          <w:p w:rsidR="00000000" w:rsidDel="00000000" w:rsidP="00000000" w:rsidRDefault="00000000" w:rsidRPr="00000000" w14:paraId="00000013">
            <w:pPr>
              <w:spacing w:after="0" w:lineRule="auto"/>
              <w:rPr/>
            </w:pPr>
            <w:r w:rsidDel="00000000" w:rsidR="00000000" w:rsidRPr="00000000">
              <w:rPr>
                <w:rtl w:val="0"/>
              </w:rPr>
              <w:t xml:space="preserve">Necesita disciplina de modelado, catálogo y control de calidad; por sí sola no define toda la ingestión modular.</w:t>
            </w:r>
          </w:p>
        </w:tc>
        <w:tc>
          <w:tcPr>
            <w:tcMar>
              <w:top w:w="80.0" w:type="dxa"/>
              <w:left w:w="120.0" w:type="dxa"/>
              <w:bottom w:w="80.0" w:type="dxa"/>
              <w:right w:w="120.0" w:type="dxa"/>
            </w:tcMar>
            <w:vAlign w:val="center"/>
          </w:tcPr>
          <w:p w:rsidR="00000000" w:rsidDel="00000000" w:rsidP="00000000" w:rsidRDefault="00000000" w:rsidRPr="00000000" w14:paraId="00000014">
            <w:pPr>
              <w:spacing w:after="0" w:lineRule="auto"/>
              <w:rPr/>
            </w:pPr>
            <w:r w:rsidDel="00000000" w:rsidR="00000000" w:rsidRPr="00000000">
              <w:rPr>
                <w:rtl w:val="0"/>
              </w:rPr>
              <w:t xml:space="preserve">Muy adecuada como capa central de almacenamiento y gobierno.</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15">
            <w:pPr>
              <w:spacing w:after="0" w:lineRule="auto"/>
              <w:rPr/>
            </w:pPr>
            <w:r w:rsidDel="00000000" w:rsidR="00000000" w:rsidRPr="00000000">
              <w:rPr>
                <w:rtl w:val="0"/>
              </w:rPr>
              <w:t xml:space="preserve">Pipeline Hibrido Modular</w:t>
            </w:r>
          </w:p>
        </w:tc>
        <w:tc>
          <w:tcPr>
            <w:tcMar>
              <w:top w:w="80.0" w:type="dxa"/>
              <w:left w:w="120.0" w:type="dxa"/>
              <w:bottom w:w="80.0" w:type="dxa"/>
              <w:right w:w="120.0" w:type="dxa"/>
            </w:tcMar>
            <w:vAlign w:val="center"/>
          </w:tcPr>
          <w:p w:rsidR="00000000" w:rsidDel="00000000" w:rsidP="00000000" w:rsidRDefault="00000000" w:rsidRPr="00000000" w14:paraId="00000016">
            <w:pPr>
              <w:spacing w:after="0" w:lineRule="auto"/>
              <w:rPr/>
            </w:pPr>
            <w:r w:rsidDel="00000000" w:rsidR="00000000" w:rsidRPr="00000000">
              <w:rPr>
                <w:rtl w:val="0"/>
              </w:rPr>
              <w:t xml:space="preserve">Permite conectar múltiples fuentes con módulos independientes; combina batch, streaming, validación, transformación y despliegue.</w:t>
            </w:r>
          </w:p>
        </w:tc>
        <w:tc>
          <w:tcPr>
            <w:tcMar>
              <w:top w:w="80.0" w:type="dxa"/>
              <w:left w:w="120.0" w:type="dxa"/>
              <w:bottom w:w="80.0" w:type="dxa"/>
              <w:right w:w="120.0" w:type="dxa"/>
            </w:tcMar>
            <w:vAlign w:val="center"/>
          </w:tcPr>
          <w:p w:rsidR="00000000" w:rsidDel="00000000" w:rsidP="00000000" w:rsidRDefault="00000000" w:rsidRPr="00000000" w14:paraId="00000017">
            <w:pPr>
              <w:spacing w:after="0" w:lineRule="auto"/>
              <w:rPr/>
            </w:pPr>
            <w:r w:rsidDel="00000000" w:rsidR="00000000" w:rsidRPr="00000000">
              <w:rPr>
                <w:rtl w:val="0"/>
              </w:rPr>
              <w:t xml:space="preserve">Requiere buena orquestación, estándares y monitoreo para evitar fragmentación.</w:t>
            </w:r>
          </w:p>
        </w:tc>
        <w:tc>
          <w:tcPr>
            <w:tcMar>
              <w:top w:w="80.0" w:type="dxa"/>
              <w:left w:w="120.0" w:type="dxa"/>
              <w:bottom w:w="80.0" w:type="dxa"/>
              <w:right w:w="120.0" w:type="dxa"/>
            </w:tcMar>
            <w:vAlign w:val="center"/>
          </w:tcPr>
          <w:p w:rsidR="00000000" w:rsidDel="00000000" w:rsidP="00000000" w:rsidRDefault="00000000" w:rsidRPr="00000000" w14:paraId="00000018">
            <w:pPr>
              <w:spacing w:after="0" w:lineRule="auto"/>
              <w:rPr/>
            </w:pPr>
            <w:r w:rsidDel="00000000" w:rsidR="00000000" w:rsidRPr="00000000">
              <w:rPr>
                <w:rtl w:val="0"/>
              </w:rPr>
              <w:t xml:space="preserve">La más adecuada como arquitectura integral, usando Lakehouse como núcleo de datos.</w:t>
            </w:r>
          </w:p>
        </w:tc>
      </w:tr>
    </w:tbl>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1"/>
        <w:rPr/>
      </w:pPr>
      <w:r w:rsidDel="00000000" w:rsidR="00000000" w:rsidRPr="00000000">
        <w:rPr>
          <w:rtl w:val="0"/>
        </w:rPr>
        <w:t xml:space="preserve">3. Decision tecnica</w:t>
      </w:r>
    </w:p>
    <w:p w:rsidR="00000000" w:rsidDel="00000000" w:rsidP="00000000" w:rsidRDefault="00000000" w:rsidRPr="00000000" w14:paraId="0000001B">
      <w:pPr>
        <w:rPr/>
      </w:pPr>
      <w:r w:rsidDel="00000000" w:rsidR="00000000" w:rsidRPr="00000000">
        <w:rPr>
          <w:rtl w:val="0"/>
        </w:rPr>
        <w:t xml:space="preserve">La arquitectura seleccionada es Pipeline Híbrido Modular con Lakehouse como repositorio central. La razón principal es que el problema no consiste solo en almacenar datos, sino en incorporar fuentes heterogéneas, transformar información con diferentes frecuencias, controlar calidad y entregar resultados para analitica, dashboards y modelos predictivos.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232323"/>
          <w:sz w:val="22"/>
          <w:szCs w:val="22"/>
          <w:u w:val="none"/>
          <w:shd w:fill="auto" w:val="clear"/>
          <w:vertAlign w:val="baseline"/>
          <w:rtl w:val="0"/>
        </w:rPr>
        <w:t xml:space="preserve">Flexibilidad: cada fuente se integra mediante conectores o trabajos independientes, evitando que un cambio en una fuente afecte a todo el sistema.</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232323"/>
          <w:sz w:val="22"/>
          <w:szCs w:val="22"/>
          <w:u w:val="none"/>
          <w:shd w:fill="auto" w:val="clear"/>
          <w:vertAlign w:val="baseline"/>
          <w:rtl w:val="0"/>
        </w:rPr>
        <w:t xml:space="preserve">Escalabilidad: el Lakehouse permite conservar datos crudos y construir capas curadas sin duplicar plataformas.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232323"/>
          <w:sz w:val="22"/>
          <w:szCs w:val="22"/>
          <w:u w:val="none"/>
          <w:shd w:fill="auto" w:val="clear"/>
          <w:vertAlign w:val="baseline"/>
          <w:rtl w:val="0"/>
        </w:rPr>
        <w:t xml:space="preserve">Gobierno: </w:t>
      </w:r>
      <w:r w:rsidDel="00000000" w:rsidR="00000000" w:rsidRPr="00000000">
        <w:rPr>
          <w:rtl w:val="0"/>
        </w:rPr>
        <w:t xml:space="preserve">catálogo</w:t>
      </w:r>
      <w:r w:rsidDel="00000000" w:rsidR="00000000" w:rsidRPr="00000000">
        <w:rPr>
          <w:rFonts w:ascii="Calibri" w:cs="Calibri" w:eastAsia="Calibri" w:hAnsi="Calibri"/>
          <w:b w:val="0"/>
          <w:bCs w:val="0"/>
          <w:i w:val="0"/>
          <w:iCs w:val="0"/>
          <w:smallCaps w:val="0"/>
          <w:strike w:val="0"/>
          <w:color w:val="232323"/>
          <w:sz w:val="22"/>
          <w:szCs w:val="22"/>
          <w:u w:val="none"/>
          <w:shd w:fill="auto" w:val="clear"/>
          <w:vertAlign w:val="baseline"/>
          <w:rtl w:val="0"/>
        </w:rPr>
        <w:t xml:space="preserve">, linaje, permisos y reglas de calidad se aplican de forma transversal.</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232323"/>
          <w:sz w:val="22"/>
          <w:szCs w:val="22"/>
          <w:u w:val="none"/>
          <w:shd w:fill="auto" w:val="clear"/>
          <w:vertAlign w:val="baseline"/>
          <w:rtl w:val="0"/>
        </w:rPr>
        <w:t xml:space="preserve">Ciencia de datos: notebooks, entrenamiento, feature engineering y despliegue de modelos pueden leer datos confiables desde capas Silver y Gold.</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60" w:right="0" w:hanging="360"/>
        <w:jc w:val="left"/>
        <w:rPr/>
      </w:pPr>
      <w:r w:rsidDel="00000000" w:rsidR="00000000" w:rsidRPr="00000000">
        <w:rPr>
          <w:rtl w:val="0"/>
        </w:rPr>
        <w:t xml:space="preserve">Evolución</w:t>
      </w:r>
      <w:r w:rsidDel="00000000" w:rsidR="00000000" w:rsidRPr="00000000">
        <w:rPr>
          <w:rFonts w:ascii="Calibri" w:cs="Calibri" w:eastAsia="Calibri" w:hAnsi="Calibri"/>
          <w:b w:val="0"/>
          <w:bCs w:val="0"/>
          <w:i w:val="0"/>
          <w:iCs w:val="0"/>
          <w:smallCaps w:val="0"/>
          <w:strike w:val="0"/>
          <w:color w:val="232323"/>
          <w:sz w:val="22"/>
          <w:szCs w:val="22"/>
          <w:u w:val="none"/>
          <w:shd w:fill="auto" w:val="clear"/>
          <w:vertAlign w:val="baseline"/>
          <w:rtl w:val="0"/>
        </w:rPr>
        <w:t xml:space="preserve"> gradual: permite comenzar con cargas batch y sumar streaming solo donde aporte valor real.</w:t>
      </w:r>
    </w:p>
    <w:p w:rsidR="00000000" w:rsidDel="00000000" w:rsidP="00000000" w:rsidRDefault="00000000" w:rsidRPr="00000000" w14:paraId="00000021">
      <w:pPr>
        <w:pStyle w:val="Heading1"/>
        <w:rPr/>
      </w:pPr>
      <w:r w:rsidDel="00000000" w:rsidR="00000000" w:rsidRPr="00000000">
        <w:rPr>
          <w:rtl w:val="0"/>
        </w:rPr>
        <w:t xml:space="preserve">4. Diagrama de arquitectura</w:t>
      </w:r>
    </w:p>
    <w:p w:rsidR="00000000" w:rsidDel="00000000" w:rsidP="00000000" w:rsidRDefault="00000000" w:rsidRPr="00000000" w14:paraId="00000022">
      <w:pPr>
        <w:keepNext w:val="1"/>
        <w:rPr/>
      </w:pPr>
      <w:r w:rsidDel="00000000" w:rsidR="00000000" w:rsidRPr="00000000">
        <w:rPr>
          <w:rtl w:val="0"/>
        </w:rPr>
        <w:t xml:space="preserve">Vista propuesta para el proyecto:</w:t>
      </w:r>
    </w:p>
    <w:p w:rsidR="00000000" w:rsidDel="00000000" w:rsidP="00000000" w:rsidRDefault="00000000" w:rsidRPr="00000000" w14:paraId="00000023">
      <w:pPr>
        <w:rPr/>
      </w:pPr>
      <w:r w:rsidDel="00000000" w:rsidR="00000000" w:rsidRPr="00000000">
        <w:rPr/>
        <w:drawing>
          <wp:inline distB="0" distT="0" distL="0" distR="0">
            <wp:extent cx="5943600" cy="36322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jc w:val="center"/>
        <w:rPr/>
      </w:pPr>
      <w:r w:rsidDel="00000000" w:rsidR="00000000" w:rsidRPr="00000000">
        <w:rPr>
          <w:i w:val="1"/>
          <w:iCs w:val="1"/>
          <w:rtl w:val="0"/>
        </w:rPr>
        <w:t xml:space="preserve">Figura 1. Pipeline Híbrido Modular con Lakehouse como núcleo de datos.</w:t>
      </w:r>
      <w:r w:rsidDel="00000000" w:rsidR="00000000" w:rsidRPr="00000000">
        <w:rPr>
          <w:rtl w:val="0"/>
        </w:rPr>
      </w:r>
    </w:p>
    <w:p w:rsidR="00000000" w:rsidDel="00000000" w:rsidP="00000000" w:rsidRDefault="00000000" w:rsidRPr="00000000" w14:paraId="00000025">
      <w:pPr>
        <w:pStyle w:val="Heading1"/>
        <w:rPr/>
      </w:pPr>
      <w:r w:rsidDel="00000000" w:rsidR="00000000" w:rsidRPr="00000000">
        <w:rPr>
          <w:rtl w:val="0"/>
        </w:rPr>
        <w:t xml:space="preserve">5. Componentes principales</w:t>
      </w:r>
    </w:p>
    <w:tbl>
      <w:tblPr>
        <w:tblStyle w:val="Table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2"/>
        <w:gridCol w:w="6768"/>
        <w:tblGridChange w:id="0">
          <w:tblGrid>
            <w:gridCol w:w="2592"/>
            <w:gridCol w:w="6768"/>
          </w:tblGrid>
        </w:tblGridChange>
      </w:tblGrid>
      <w:tr>
        <w:trPr>
          <w:cantSplit w:val="0"/>
          <w:tblHeader w:val="0"/>
        </w:trPr>
        <w:tc>
          <w:tcPr>
            <w:shd w:fill="f2f4f7" w:val="clear"/>
            <w:tcMar>
              <w:top w:w="80.0" w:type="dxa"/>
              <w:left w:w="120.0" w:type="dxa"/>
              <w:bottom w:w="80.0" w:type="dxa"/>
              <w:right w:w="120.0" w:type="dxa"/>
            </w:tcMar>
            <w:vAlign w:val="center"/>
          </w:tcPr>
          <w:p w:rsidR="00000000" w:rsidDel="00000000" w:rsidP="00000000" w:rsidRDefault="00000000" w:rsidRPr="00000000" w14:paraId="00000026">
            <w:pPr>
              <w:jc w:val="center"/>
              <w:rPr/>
            </w:pPr>
            <w:r w:rsidDel="00000000" w:rsidR="00000000" w:rsidRPr="00000000">
              <w:rPr>
                <w:b w:val="1"/>
                <w:bCs w:val="1"/>
                <w:color w:val="282828"/>
                <w:rtl w:val="0"/>
              </w:rPr>
              <w:t xml:space="preserve">Componente</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027">
            <w:pPr>
              <w:jc w:val="center"/>
              <w:rPr/>
            </w:pPr>
            <w:r w:rsidDel="00000000" w:rsidR="00000000" w:rsidRPr="00000000">
              <w:rPr>
                <w:b w:val="1"/>
                <w:bCs w:val="1"/>
                <w:color w:val="282828"/>
                <w:rtl w:val="0"/>
              </w:rPr>
              <w:t xml:space="preserve">Función en el proyecto</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28">
            <w:pPr>
              <w:spacing w:after="0" w:lineRule="auto"/>
              <w:rPr/>
            </w:pPr>
            <w:r w:rsidDel="00000000" w:rsidR="00000000" w:rsidRPr="00000000">
              <w:rPr>
                <w:rtl w:val="0"/>
              </w:rPr>
              <w:t xml:space="preserve">Fuentes de datos</w:t>
            </w:r>
          </w:p>
        </w:tc>
        <w:tc>
          <w:tcPr>
            <w:tcMar>
              <w:top w:w="80.0" w:type="dxa"/>
              <w:left w:w="120.0" w:type="dxa"/>
              <w:bottom w:w="80.0" w:type="dxa"/>
              <w:right w:w="120.0" w:type="dxa"/>
            </w:tcMar>
            <w:vAlign w:val="center"/>
          </w:tcPr>
          <w:p w:rsidR="00000000" w:rsidDel="00000000" w:rsidP="00000000" w:rsidRDefault="00000000" w:rsidRPr="00000000" w14:paraId="00000029">
            <w:pPr>
              <w:spacing w:after="0" w:lineRule="auto"/>
              <w:rPr/>
            </w:pPr>
            <w:r w:rsidDel="00000000" w:rsidR="00000000" w:rsidRPr="00000000">
              <w:rPr>
                <w:rtl w:val="0"/>
              </w:rPr>
              <w:t xml:space="preserve">Bases SQL/NoSQL, APIs, archivos, logs y sensores. Mantienen su independencia y se documentan con metadatos.</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2A">
            <w:pPr>
              <w:spacing w:after="0" w:lineRule="auto"/>
              <w:rPr/>
            </w:pPr>
            <w:r w:rsidDel="00000000" w:rsidR="00000000" w:rsidRPr="00000000">
              <w:rPr>
                <w:rtl w:val="0"/>
              </w:rPr>
              <w:t xml:space="preserve">Ingestion modular</w:t>
            </w:r>
          </w:p>
        </w:tc>
        <w:tc>
          <w:tcPr>
            <w:tcMar>
              <w:top w:w="80.0" w:type="dxa"/>
              <w:left w:w="120.0" w:type="dxa"/>
              <w:bottom w:w="80.0" w:type="dxa"/>
              <w:right w:w="120.0" w:type="dxa"/>
            </w:tcMar>
            <w:vAlign w:val="center"/>
          </w:tcPr>
          <w:p w:rsidR="00000000" w:rsidDel="00000000" w:rsidP="00000000" w:rsidRDefault="00000000" w:rsidRPr="00000000" w14:paraId="0000002B">
            <w:pPr>
              <w:spacing w:after="0" w:lineRule="auto"/>
              <w:rPr/>
            </w:pPr>
            <w:r w:rsidDel="00000000" w:rsidR="00000000" w:rsidRPr="00000000">
              <w:rPr>
                <w:rtl w:val="0"/>
              </w:rPr>
              <w:t xml:space="preserve">Conectores batch y streaming capturan datos, validan estructura mínima y registran errores.</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2C">
            <w:pPr>
              <w:spacing w:after="0" w:lineRule="auto"/>
              <w:rPr/>
            </w:pPr>
            <w:r w:rsidDel="00000000" w:rsidR="00000000" w:rsidRPr="00000000">
              <w:rPr>
                <w:rtl w:val="0"/>
              </w:rPr>
              <w:t xml:space="preserve">Lakehouse</w:t>
            </w:r>
          </w:p>
        </w:tc>
        <w:tc>
          <w:tcPr>
            <w:tcMar>
              <w:top w:w="80.0" w:type="dxa"/>
              <w:left w:w="120.0" w:type="dxa"/>
              <w:bottom w:w="80.0" w:type="dxa"/>
              <w:right w:w="120.0" w:type="dxa"/>
            </w:tcMar>
            <w:vAlign w:val="center"/>
          </w:tcPr>
          <w:p w:rsidR="00000000" w:rsidDel="00000000" w:rsidP="00000000" w:rsidRDefault="00000000" w:rsidRPr="00000000" w14:paraId="0000002D">
            <w:pPr>
              <w:spacing w:after="0" w:lineRule="auto"/>
              <w:rPr/>
            </w:pPr>
            <w:r w:rsidDel="00000000" w:rsidR="00000000" w:rsidRPr="00000000">
              <w:rPr>
                <w:rtl w:val="0"/>
              </w:rPr>
              <w:t xml:space="preserve">Organiza datos en Bronze, Silver y Gold para separar datos crudos, limpios y listos para consumo.</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2E">
            <w:pPr>
              <w:spacing w:after="0" w:lineRule="auto"/>
              <w:rPr/>
            </w:pPr>
            <w:r w:rsidDel="00000000" w:rsidR="00000000" w:rsidRPr="00000000">
              <w:rPr>
                <w:rtl w:val="0"/>
              </w:rPr>
              <w:t xml:space="preserve">Procesamiento</w:t>
            </w:r>
          </w:p>
        </w:tc>
        <w:tc>
          <w:tcPr>
            <w:tcMar>
              <w:top w:w="80.0" w:type="dxa"/>
              <w:left w:w="120.0" w:type="dxa"/>
              <w:bottom w:w="80.0" w:type="dxa"/>
              <w:right w:w="120.0" w:type="dxa"/>
            </w:tcMar>
            <w:vAlign w:val="center"/>
          </w:tcPr>
          <w:p w:rsidR="00000000" w:rsidDel="00000000" w:rsidP="00000000" w:rsidRDefault="00000000" w:rsidRPr="00000000" w14:paraId="0000002F">
            <w:pPr>
              <w:spacing w:after="0" w:lineRule="auto"/>
              <w:rPr/>
            </w:pPr>
            <w:r w:rsidDel="00000000" w:rsidR="00000000" w:rsidRPr="00000000">
              <w:rPr>
                <w:rtl w:val="0"/>
              </w:rPr>
              <w:t xml:space="preserve">Transformaciones con Python, Spark o dbt; reglas de calidad; generación de variables para modelos.</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30">
            <w:pPr>
              <w:spacing w:after="0" w:lineRule="auto"/>
              <w:rPr/>
            </w:pPr>
            <w:r w:rsidDel="00000000" w:rsidR="00000000" w:rsidRPr="00000000">
              <w:rPr>
                <w:rtl w:val="0"/>
              </w:rPr>
              <w:t xml:space="preserve">Orquestacion</w:t>
            </w:r>
          </w:p>
        </w:tc>
        <w:tc>
          <w:tcPr>
            <w:tcMar>
              <w:top w:w="80.0" w:type="dxa"/>
              <w:left w:w="120.0" w:type="dxa"/>
              <w:bottom w:w="80.0" w:type="dxa"/>
              <w:right w:w="120.0" w:type="dxa"/>
            </w:tcMar>
            <w:vAlign w:val="center"/>
          </w:tcPr>
          <w:p w:rsidR="00000000" w:rsidDel="00000000" w:rsidP="00000000" w:rsidRDefault="00000000" w:rsidRPr="00000000" w14:paraId="00000031">
            <w:pPr>
              <w:spacing w:after="0" w:lineRule="auto"/>
              <w:rPr/>
            </w:pPr>
            <w:r w:rsidDel="00000000" w:rsidR="00000000" w:rsidRPr="00000000">
              <w:rPr>
                <w:rtl w:val="0"/>
              </w:rPr>
              <w:t xml:space="preserve">Planificación, dependencias, reintentos, alertas y monitoreo de ejecuciones.</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32">
            <w:pPr>
              <w:spacing w:after="0" w:lineRule="auto"/>
              <w:rPr/>
            </w:pPr>
            <w:r w:rsidDel="00000000" w:rsidR="00000000" w:rsidRPr="00000000">
              <w:rPr>
                <w:rtl w:val="0"/>
              </w:rPr>
              <w:t xml:space="preserve">Consumo y MLOps</w:t>
            </w:r>
          </w:p>
        </w:tc>
        <w:tc>
          <w:tcPr>
            <w:tcMar>
              <w:top w:w="80.0" w:type="dxa"/>
              <w:left w:w="120.0" w:type="dxa"/>
              <w:bottom w:w="80.0" w:type="dxa"/>
              <w:right w:w="120.0" w:type="dxa"/>
            </w:tcMar>
            <w:vAlign w:val="center"/>
          </w:tcPr>
          <w:p w:rsidR="00000000" w:rsidDel="00000000" w:rsidP="00000000" w:rsidRDefault="00000000" w:rsidRPr="00000000" w14:paraId="00000033">
            <w:pPr>
              <w:spacing w:after="0" w:lineRule="auto"/>
              <w:rPr/>
            </w:pPr>
            <w:r w:rsidDel="00000000" w:rsidR="00000000" w:rsidRPr="00000000">
              <w:rPr>
                <w:rtl w:val="0"/>
              </w:rPr>
              <w:t xml:space="preserve">Dashboards, notebooks, APIs, entrenamiento, versionado y despliegue de modelos.</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34">
            <w:pPr>
              <w:spacing w:after="0" w:lineRule="auto"/>
              <w:rPr/>
            </w:pPr>
            <w:r w:rsidDel="00000000" w:rsidR="00000000" w:rsidRPr="00000000">
              <w:rPr>
                <w:rtl w:val="0"/>
              </w:rPr>
              <w:t xml:space="preserve">Gobierno</w:t>
            </w:r>
          </w:p>
        </w:tc>
        <w:tc>
          <w:tcPr>
            <w:tcMar>
              <w:top w:w="80.0" w:type="dxa"/>
              <w:left w:w="120.0" w:type="dxa"/>
              <w:bottom w:w="80.0" w:type="dxa"/>
              <w:right w:w="120.0" w:type="dxa"/>
            </w:tcMar>
            <w:vAlign w:val="center"/>
          </w:tcPr>
          <w:p w:rsidR="00000000" w:rsidDel="00000000" w:rsidP="00000000" w:rsidRDefault="00000000" w:rsidRPr="00000000" w14:paraId="00000035">
            <w:pPr>
              <w:spacing w:after="0" w:lineRule="auto"/>
              <w:rPr/>
            </w:pPr>
            <w:r w:rsidDel="00000000" w:rsidR="00000000" w:rsidRPr="00000000">
              <w:rPr>
                <w:rtl w:val="0"/>
              </w:rPr>
              <w:t xml:space="preserve">Catálogo, linaje, control de acceso, auditoría, costos y observabilidad.</w:t>
            </w:r>
          </w:p>
        </w:tc>
      </w:tr>
    </w:tbl>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1"/>
        <w:rPr/>
      </w:pPr>
      <w:r w:rsidDel="00000000" w:rsidR="00000000" w:rsidRPr="00000000">
        <w:rPr>
          <w:rtl w:val="0"/>
        </w:rPr>
        <w:t xml:space="preserve">6. Conclusión</w:t>
      </w:r>
    </w:p>
    <w:p w:rsidR="00000000" w:rsidDel="00000000" w:rsidP="00000000" w:rsidRDefault="00000000" w:rsidRPr="00000000" w14:paraId="00000038">
      <w:pPr>
        <w:rPr/>
      </w:pPr>
      <w:r w:rsidDel="00000000" w:rsidR="00000000" w:rsidRPr="00000000">
        <w:rPr>
          <w:rtl w:val="0"/>
        </w:rPr>
        <w:t xml:space="preserve">La arquitectura Lambda es potente, pero introduce una carga de mantenimiento alta al duplicar los caminos de procesamiento. Lakehouse es una excelente base, aunque no cubre por completo la estrategia de ingestión y operación. Por eso, la alternativa más conveniente es un Pipeline Híbrido Modular con Lakehouse: ofrece equilibrio entre orden, escalabilidad, control y capacidad práctica para ciencia de datos con múltiples fuentes.</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232323"/>
        <w:sz w:val="22"/>
        <w:szCs w:val="22"/>
        <w:lang w:val="en"/>
      </w:rPr>
    </w:rPrDefault>
    <w:pPrDefault>
      <w:pPr>
        <w:spacing w:after="120" w:line="26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60" w:before="320" w:lineRule="auto"/>
    </w:pPr>
    <w:rPr>
      <w:rFonts w:ascii="Calibri" w:cs="Calibri" w:eastAsia="Calibri" w:hAnsi="Calibri"/>
      <w:b w:val="1"/>
      <w:bCs w:val="1"/>
      <w:color w:val="2e74b5"/>
      <w:sz w:val="32"/>
      <w:szCs w:val="32"/>
    </w:rPr>
  </w:style>
  <w:style w:type="paragraph" w:styleId="Heading2">
    <w:name w:val="heading 2"/>
    <w:basedOn w:val="Normal"/>
    <w:next w:val="Normal"/>
    <w:pPr>
      <w:keepNext w:val="1"/>
      <w:keepLines w:val="1"/>
      <w:spacing w:before="240" w:lineRule="auto"/>
    </w:pPr>
    <w:rPr>
      <w:rFonts w:ascii="Calibri" w:cs="Calibri" w:eastAsia="Calibri" w:hAnsi="Calibri"/>
      <w:b w:val="1"/>
      <w:bCs w:val="1"/>
      <w:color w:val="2e74b5"/>
      <w:sz w:val="26"/>
      <w:szCs w:val="26"/>
    </w:rPr>
  </w:style>
  <w:style w:type="paragraph" w:styleId="Heading3">
    <w:name w:val="heading 3"/>
    <w:basedOn w:val="Normal"/>
    <w:next w:val="Normal"/>
    <w:pPr>
      <w:keepNext w:val="1"/>
      <w:keepLines w:val="1"/>
      <w:spacing w:after="80" w:before="160" w:lineRule="auto"/>
    </w:pPr>
    <w:rPr>
      <w:rFonts w:ascii="Calibri" w:cs="Calibri" w:eastAsia="Calibri" w:hAnsi="Calibri"/>
      <w:b w:val="1"/>
      <w:bCs w:val="1"/>
      <w:color w:val="1f4d78"/>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vOjcrMd2qdmTC5jdK8vuL+fLUQ==">CgMxLjA4AHIhMVNiNGl6SWEtSGZoVS1fMmwzWDRLYnBtLTVNWUI5ZGlH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