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Informe TacticSphere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bjljjnscf8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4n27jwoa4r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bzlhnn95g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4f2mewl2pw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7rsbs1m0o4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9gkvxcztkl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agp41x69ht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dusn2sal6g5" w:id="7"/>
      <w:bookmarkEnd w:id="7"/>
      <w:r w:rsidDel="00000000" w:rsidR="00000000" w:rsidRPr="00000000">
        <w:rPr>
          <w:sz w:val="34"/>
          <w:szCs w:val="34"/>
          <w:rtl w:val="0"/>
        </w:rPr>
        <w:t xml:space="preserve">Proyecto: TacticSphere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Fecha: 23 de octubre de 2025</w:t>
        <w:br w:type="textWrapping"/>
        <w:t xml:space="preserve">Equipo: Vicente Fernández, Samanta Navarro y Amaro Veas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Periodo de desarrollo: 22 de agosto – 5 de diciembre (16 semanas)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Duración total estimada: 720 horas hombre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zrtfo30vibf" w:id="8"/>
      <w:bookmarkEnd w:id="8"/>
      <w:r w:rsidDel="00000000" w:rsidR="00000000" w:rsidRPr="00000000">
        <w:rPr>
          <w:sz w:val="34"/>
          <w:szCs w:val="34"/>
          <w:rtl w:val="0"/>
        </w:rPr>
        <w:t xml:space="preserve">1. Problemática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empresas, especialmente PyMEs pero también organizaciones grandes, tienen dificultades para avanzar en su transformación digital. Las principales brechas detectadas son: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cuentan con un diagnóstico objetivo y medible de su nivel de madurez tecnológica.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decisiones se toman por intuición y experiencia, más que por datos.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herramientas disponibles suelen ser genéricas, no adaptadas al tamaño, rubro o realidad interna de la empresa.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 falta de diagnóstico y priorización impacta su competitividad, eficiencia operativa y capacidad de innovar.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contexto, surge la necesidad de una solución que evalúe rápida y estructuradamente el nivel de madurez tecnológica de la empresa (por pilar, por área y a nivel global), y que además entregue recomendaciones concretas para la toma de decisiones estratégicas.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sz w:val="34"/>
          <w:szCs w:val="34"/>
        </w:rPr>
      </w:pPr>
      <w:bookmarkStart w:colFirst="0" w:colLast="0" w:name="_5lrxn6nyy6dh" w:id="9"/>
      <w:bookmarkEnd w:id="9"/>
      <w:r w:rsidDel="00000000" w:rsidR="00000000" w:rsidRPr="00000000">
        <w:rPr>
          <w:sz w:val="34"/>
          <w:szCs w:val="34"/>
          <w:rtl w:val="0"/>
        </w:rPr>
        <w:t xml:space="preserve">2. Solución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propuesta es TacticSphere, una consultora de transformación digital apoyada en una plataforma web que: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 un modelo de madurez tecnológica basado en cuatro pilares (Infraestructura &amp; Cloud, Big Data &amp; Analytics, Business Intelligence e Inteligencia Artificial), alineado a ITIL 4.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Evalúa la empresa mediante un cuestionario estructurado de 40 preguntas en escala Likert 1–5 (10 por pilar).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 automáticamente: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Puntaje por pregunta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Puntaje promedio por pilar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Puntaje global de madurez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 los resultados mediante: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Semáforos (1–2 rojo, 3 amarillo, 4–5 verde)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Dashboards ejecutivos (KPI global, gráfico radar por pilar, brechas y fortalezas)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 recomendaciones automáticas por pilar según el nivel alcanzado, para orientar los planes de mejora.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resumen, TacticSphere convierte las respuestas del cuestionario en insights accionables para la dirección y los consultores de la empresa.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0" w:firstLine="0"/>
        <w:rPr>
          <w:sz w:val="34"/>
          <w:szCs w:val="34"/>
        </w:rPr>
      </w:pPr>
      <w:bookmarkStart w:colFirst="0" w:colLast="0" w:name="_h1srzxgq1r5j" w:id="10"/>
      <w:bookmarkEnd w:id="10"/>
      <w:r w:rsidDel="00000000" w:rsidR="00000000" w:rsidRPr="00000000">
        <w:rPr>
          <w:sz w:val="34"/>
          <w:szCs w:val="34"/>
          <w:rtl w:val="0"/>
        </w:rPr>
        <w:t xml:space="preserve">3. Benficiarios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beneficiarios son: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PyMEs: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Obtienen un diagnóstico rápido y accesible, con recomendaciones adaptadas a sus recursos.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Les ayuda a “saber por dónde partir".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Empresas grandes / corporaciones: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Pueden analizar resultados por área, departamento o equipo, identificando brechas internas.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Apoya la toma de decisiones a nivel directivo con información segmentada.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Consultores internos o externos: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Cuentan con una herramienta estandarizada para evaluar madurez digital.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Reducen tiempos de diagnóstico y pueden enfocar su trabajo en la propuesta de mejora.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Colaboradores / empleados encuestados: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Toman conciencia de cómo su área aporta (o no) a la madurez tecnológica de la empresa.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Reciben retroalimentación indirecta a través de los resultados y planes de acción.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a6hxwmrelm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m1x8n8gly0a" w:id="12"/>
      <w:bookmarkEnd w:id="12"/>
      <w:r w:rsidDel="00000000" w:rsidR="00000000" w:rsidRPr="00000000">
        <w:rPr>
          <w:sz w:val="34"/>
          <w:szCs w:val="34"/>
          <w:rtl w:val="0"/>
        </w:rPr>
        <w:t xml:space="preserve">4. Metodologías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desarrolló bajo la Metodología de Desarrollo en Cascada Tradicional, adecuada para un contexto académico con plazos y entregables bien definidos.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umebeawju6x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4.1 Fases aplicadas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Inicio y planificación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Definición de objetivos y alcance.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Elaboración del Plan de Proyecto y acta de Kick-Off.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Análisis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Levantamiento de requerimientos funcionales y no funcionales.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Modelado de procesos y casos de uso.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Elaboración del documento ERS.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Diseño de la base de datos (ERD).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Diagramas UML (clases, casos de uso).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Definición de la arquitectura técnica (backend, frontend, base de datos, analytics).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Desarrollo de la API con FastAPI.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Configuración y uso de la base de datos (SQLite en desarrollo, PostgreSQL en producción).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Desarrollo del frontend en Angular.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Implementación de dashboards y exportaciones.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e integración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Pruebas unitarias, de integración y de sistema.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Validación del flujo completo: empresa → cuestionario → asignación → respuestas → dashboard → exportación.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y entrega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Manual técnico, manual de usuario y documentación de arquitectura.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Preparación de la demo final del MVP.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59bjdpysgeh" w:id="14"/>
      <w:bookmarkEnd w:id="14"/>
      <w:r w:rsidDel="00000000" w:rsidR="00000000" w:rsidRPr="00000000">
        <w:rPr>
          <w:sz w:val="34"/>
          <w:szCs w:val="34"/>
          <w:rtl w:val="0"/>
        </w:rPr>
        <w:t xml:space="preserve">5. Arquitectura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TacticSphere adopta una arquitectura en tres capas: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5j248m388c6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5.1 Capa Backend (API y lógica de negocio)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Tecnologías: Python 3, FastAPI, SQLAlchemy, Alembic, Uvicorn.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Exponer endpoints REST para autenticación, empresas, empleados, pilares, preguntas, cuestionarios, asignaciones, respuestas, analytics y auditoría.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datos con Pydantic (esquemas request/response).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la lógica de negocio: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Cálculo de puntajes por pilar y global.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Normalización de respuestas (Likert, Sí/No).</w:t>
        <w:br w:type="textWrapping"/>
      </w:r>
    </w:p>
    <w:p w:rsidR="00000000" w:rsidDel="00000000" w:rsidP="00000000" w:rsidRDefault="00000000" w:rsidRPr="00000000" w14:paraId="0000005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Generación de datos para dashboards.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Gestión de autenticación JWT y control de acceso basado en roles (RBAC).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de auditoría (acciones críticas y exportaciones).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j37b7vuv0r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5.2 Capa de Datos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Motores: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SQLite en desarrollo.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PostgreSQL en producción/demo.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Modelo OLTP normalizado: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Tablas para usuarios, empresas, departamentos, empleados, pilares, preguntas, cuestionarios, asignaciones, respuestas, umbrales, recomendaciones, auditoría y leads de consultoría.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Soporte para reporting: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Índices y restricciones pensados para acelerar consultas de dashboard.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Diseño preparado para vistas materializadas y agregaciones (respuestas_analytics, kpis_por_empresa, etc.).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huw1mootg4h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5.3 Capa Frontend (SPA)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Tecnologías: Angular 20, TypeScript, RxJS, TailwindCSS, Lucide, ECharts.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Interfaz SPA con componentes standalone y routing protegido por guards.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Flujo de encuestas (modo normal y modo simple).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Dashboards ejecutivos con ECharts (barras, radar, heatmap, timeline).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Gestión de empresas, empleados, cuestionarios y asignaciones.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Exportación a PDF y Excel (html2canvas + jsPDF + ExcelJS/xlsx).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720" w:hanging="360"/>
        <w:rPr>
          <w:sz w:val="34"/>
          <w:szCs w:val="34"/>
        </w:rPr>
      </w:pPr>
      <w:bookmarkStart w:colFirst="0" w:colLast="0" w:name="_1f8pjr18yl3d" w:id="18"/>
      <w:bookmarkEnd w:id="18"/>
      <w:r w:rsidDel="00000000" w:rsidR="00000000" w:rsidRPr="00000000">
        <w:rPr>
          <w:sz w:val="34"/>
          <w:szCs w:val="34"/>
          <w:rtl w:val="0"/>
        </w:rPr>
        <w:t xml:space="preserve">6. Cronograma y estado de avance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definido en el Plan de Proyecto considera 16 semanas (22 de agosto – 5 de diciembre), siguiendo la cascada: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Inicio y Planificación (Semana 1)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Análisis (Semanas 2–4)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(Semanas 5–6)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Backend y BD (Semanas 7–9)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Frontend y Dashboards (Semanas 10–12)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e Integración (Semanas 13–14)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y Preparación Final (Semana 15)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 y Presentación (Semana 16)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hyp53s1wq85m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Estado actual del proyecto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 fecha de elaboración de este informe: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Completado: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Inicio y planificación.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Análisis (requerimientos RF/RNF y ERS).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Diseño (ERD, UML, arquitectura).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Backend con FastAPI: modelos, endpoints principales, autenticación JWT, auditoría.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Base de datos: esquema OLTP con migraciones Alembic.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Frontend base: autenticación, gestión de empresas/empleados, flujo de encuestas.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Primer dashboard de analytics y exportaciones (PDF, CSV/Excel).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curso: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Ajustes de usabilidad en frontend.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Refinamiento del módulo de analytics (dashboards más completos).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Pruebas sistemáticas y cierre de defectos.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Consolidación de documentación final y material para la demo.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Pendiente (tramo final):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Afinar detalles de presentación.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Verificación final de criterios de aceptación (UAT) antes de la entrega del 1 de diciembre.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i35wd57wuxx" w:id="20"/>
      <w:bookmarkEnd w:id="20"/>
      <w:r w:rsidDel="00000000" w:rsidR="00000000" w:rsidRPr="00000000">
        <w:rPr>
          <w:sz w:val="34"/>
          <w:szCs w:val="34"/>
          <w:rtl w:val="0"/>
        </w:rPr>
        <w:t xml:space="preserve">7. Costos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7hademl61za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7.1. Horas de trabajo (costo referencial)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 de 3 integrantes, con una dedicación estimada de 15 horas semanales cada uno durante 16 semanas: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Horas por integrante: 15 × 16 = 240 h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Horas totales equipo: 240 × 3 = 720 h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utiliza un valor referencial de $10.000 CLP/hora, el costo teórico sería: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720 h × $10.000 CLP = $7.200.000 CLP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contexto académico, este costo es simulado, pero sirve para dimensionar el esfuerzo real invertido.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gn0al73wmiy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7.2. Infraestructura y software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Notebooks personales: $0 (recursos ya adquiridos).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Software y frameworks: $0 (FastAPI, Angular, Tailwind, ECharts, PostgreSQL, SQLite, Docker, GitHub, etc., todos open source o con free tier).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Servicios en la nube: uso de planes gratuitos para ambientes demo/pruebas → $0.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Dominio/hosting (opcional): se considera un posible gasto alrededor de $50.000 CLP si se desea una demo pública con dominio propio.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Resumen:</w:t>
        <w:br w:type="textWrapping"/>
        <w:t xml:space="preserve"> El costo directo del proyecto se mantiene muy bajo gracias al uso de herramientas open source y recursos ya disponibles. El principal “costo” es la dedicación de horas del equipo.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tn7znkx7r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pruebas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la calidad del MVP de TacticSphere, se definieron métricas de prueba orientadas a: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s0gjuoka7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Calidad funcional y técnica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de pruebas unitarias (backend):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 mínimo: ≥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en servicios críticos (autenticación, cálculo de puntajes, exportaciones, endpoints de encuestas).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end-to-end validado: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Registro de empresa → creación de cuestionario → asignación → respuesta de encuesta → generación de reporte → exportación.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de datos: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de obligatoriedad y rangos (Likert 1–5).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 respuestas duplicadas para la misma asignación/pregunta/empleado.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Respeto de encuestas anónimas (sin vínculo con empleado_id cuando corresponde).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0mntdol4l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Rendimiento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respuesta en UI: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Listados y dashboards: ≤ </w:t>
      </w:r>
      <w:r w:rsidDel="00000000" w:rsidR="00000000" w:rsidRPr="00000000">
        <w:rPr>
          <w:b w:val="1"/>
          <w:bCs w:val="1"/>
          <w:rtl w:val="0"/>
        </w:rPr>
        <w:t xml:space="preserve">2 segundos</w:t>
      </w:r>
      <w:r w:rsidDel="00000000" w:rsidR="00000000" w:rsidRPr="00000000">
        <w:rPr>
          <w:rtl w:val="0"/>
        </w:rPr>
        <w:t xml:space="preserve"> en el 95% de solicitudes comunes.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reporte global: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Escenario de hasta ~5.000 respuestas → tiempo objetivo ≤ </w:t>
      </w:r>
      <w:r w:rsidDel="00000000" w:rsidR="00000000" w:rsidRPr="00000000">
        <w:rPr>
          <w:b w:val="1"/>
          <w:bCs w:val="1"/>
          <w:rtl w:val="0"/>
        </w:rPr>
        <w:t xml:space="preserve">10 segundos</w:t>
      </w:r>
      <w:r w:rsidDel="00000000" w:rsidR="00000000" w:rsidRPr="00000000">
        <w:rPr>
          <w:rtl w:val="0"/>
        </w:rPr>
        <w:t xml:space="preserve"> sin errores 5xx.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dd3fmo8ub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Seguridad y usabilidad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Todas las contraseñas almacenadas con hash seguro (bcrypt).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con expiración y validación en cada endpoint protegido.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CORS configurado por entorno y preparado para HTTPS en despliegues demo.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 (UX):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Tareas clave (crear cuestionario, asignar encuesta, ver avance, descargar reporte) realizables por usuarios no técnicos en un tiempo razonable (≤ </w:t>
      </w:r>
      <w:r w:rsidDel="00000000" w:rsidR="00000000" w:rsidRPr="00000000">
        <w:rPr>
          <w:b w:val="1"/>
          <w:bCs w:val="1"/>
          <w:rtl w:val="0"/>
        </w:rPr>
        <w:t xml:space="preserve">3 minutos por tarea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bfkvlzotx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Lecciones aprendidas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 TacticSphere se identificaron varias lecciones importantes: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importancia de un buen análisis inicial</w:t>
        <w:br w:type="textWrapping"/>
      </w:r>
      <w:r w:rsidDel="00000000" w:rsidR="00000000" w:rsidRPr="00000000">
        <w:rPr>
          <w:rtl w:val="0"/>
        </w:rPr>
        <w:t xml:space="preserve"> Invertir tiempo en definir bien los </w:t>
      </w:r>
      <w:r w:rsidDel="00000000" w:rsidR="00000000" w:rsidRPr="00000000">
        <w:rPr>
          <w:b w:val="1"/>
          <w:bCs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 (RF/RNF), el </w:t>
      </w:r>
      <w:r w:rsidDel="00000000" w:rsidR="00000000" w:rsidRPr="00000000">
        <w:rPr>
          <w:b w:val="1"/>
          <w:bCs w:val="1"/>
          <w:rtl w:val="0"/>
        </w:rPr>
        <w:t xml:space="preserve">modelo de madurez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pilares</w:t>
      </w:r>
      <w:r w:rsidDel="00000000" w:rsidR="00000000" w:rsidRPr="00000000">
        <w:rPr>
          <w:rtl w:val="0"/>
        </w:rPr>
        <w:t xml:space="preserve"> permitió evitar muchos retrabajos en etapas posteriores.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diseño de la base de datos es crítico</w:t>
        <w:br w:type="textWrapping"/>
      </w:r>
      <w:r w:rsidDel="00000000" w:rsidR="00000000" w:rsidRPr="00000000">
        <w:rPr>
          <w:rtl w:val="0"/>
        </w:rPr>
        <w:t xml:space="preserve"> Un ERD bien pensado (multi-empresa, relación cuestionario–pregunta–asignación–respuesta) facilitó después todo el trabajo de </w:t>
      </w:r>
      <w:r w:rsidDel="00000000" w:rsidR="00000000" w:rsidRPr="00000000">
        <w:rPr>
          <w:b w:val="1"/>
          <w:bCs w:val="1"/>
          <w:rtl w:val="0"/>
        </w:rPr>
        <w:t xml:space="preserve">analytics, dashboards y exportaciones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integración backend–frontend requiere iteración</w:t>
        <w:br w:type="textWrapping"/>
      </w:r>
      <w:r w:rsidDel="00000000" w:rsidR="00000000" w:rsidRPr="00000000">
        <w:rPr>
          <w:rtl w:val="0"/>
        </w:rPr>
        <w:t xml:space="preserve"> Aunque la metodología base fue cascada, en la práctica se trabajó con pequeñas iteraciones entre API y Angular para alinear formatos de datos, filtros y comportamiento de la UI.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usabilidad no es “decoración”</w:t>
        <w:br w:type="textWrapping"/>
      </w:r>
      <w:r w:rsidDel="00000000" w:rsidR="00000000" w:rsidRPr="00000000">
        <w:rPr>
          <w:rtl w:val="0"/>
        </w:rPr>
        <w:t xml:space="preserve"> Ajustes en navegación, mensajes de error y componentes (por ejemplo, autocompletado de empleados y barras de progreso en encuestas) tuvieron un impacto directo en la </w:t>
      </w:r>
      <w:r w:rsidDel="00000000" w:rsidR="00000000" w:rsidRPr="00000000">
        <w:rPr>
          <w:b w:val="1"/>
          <w:bCs w:val="1"/>
          <w:rtl w:val="0"/>
        </w:rPr>
        <w:t xml:space="preserve">experiencia del usuario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a tiempo ahorra estrés al final</w:t>
        <w:br w:type="textWrapping"/>
      </w:r>
      <w:r w:rsidDel="00000000" w:rsidR="00000000" w:rsidRPr="00000000">
        <w:rPr>
          <w:rtl w:val="0"/>
        </w:rPr>
        <w:t xml:space="preserve"> Llevar la documentación (ERS, diagramas, tecnologías, pruebas) en paralelo con el desarrollo hizo más manejable la preparación del </w:t>
      </w:r>
      <w:r w:rsidDel="00000000" w:rsidR="00000000" w:rsidRPr="00000000">
        <w:rPr>
          <w:b w:val="1"/>
          <w:bCs w:val="1"/>
          <w:rtl w:val="0"/>
        </w:rPr>
        <w:t xml:space="preserve">informe final y la demo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Trabajo en equipo y coordinación</w:t>
        <w:br w:type="textWrapping"/>
      </w:r>
      <w:r w:rsidDel="00000000" w:rsidR="00000000" w:rsidRPr="00000000">
        <w:rPr>
          <w:rtl w:val="0"/>
        </w:rPr>
        <w:t xml:space="preserve"> El uso de Git, issues y una distribución clara de tareas permitió que los tres integrantes pudieran avanzar en paralelo (backend, frontend, documentación) sin bloquearse mutuamente.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/>
      <w:drawing>
        <wp:inline distB="114300" distT="114300" distL="114300" distR="114300">
          <wp:extent cx="928688" cy="9271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8688" cy="9271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