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1.4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Novedades de la versión 1.4</w:t>
              </w:r>
            </w:hyperlink>
          </w:p>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cap13" w:id="90"/>
      <w:r>
        <w:t xml:space="preserve">13. Novedades de la versión 1.4</w:t>
      </w:r>
      <w:bookmarkEnd w:id="90"/>
    </w:p>
    <w:p>
      <w:pPr>
        <w:spacing w:after="120" w:line="288"/>
      </w:pPr>
      <w:r>
        <w:t xml:space="preserve">Este capítulo reúne lo que cambió en el simulador desde la versión 1.3 (16 de octubre de 2026). Es lo que ya funciona en la plataforma; donde un capítulo anterior diga otra cosa, </w:t>
      </w:r>
      <w:r>
        <w:rPr>
          <w:b/>
          <w:bCs/>
        </w:rPr>
        <w:t xml:space="preserve">vale lo de aquí</w:t>
      </w:r>
      <w:r>
        <w:t xml:space="preserve">. Lo marcado como «para el editor» es lo que cambia en la forma de escribir un caso.</w:t>
      </w:r>
    </w:p>
    <w:p>
      <w:pPr>
        <w:pStyle w:val="Heading2"/>
      </w:pPr>
      <w:r>
        <w:t xml:space="preserve">13.1 En un vistazo</w:t>
      </w:r>
    </w:p>
    <w:p>
      <w:pPr>
        <w:pStyle w:val="ListParagraph"/>
        <w:numPr>
          <w:ilvl w:val="0"/>
          <w:numId w:val="4"/>
        </w:numPr>
        <w:spacing w:after="90" w:line="280"/>
      </w:pPr>
      <w:r>
        <w:rPr>
          <w:b/>
          <w:bCs/>
        </w:rPr>
        <w:t xml:space="preserve">Modelos 3D en dos carpetas:</w:t>
      </w:r>
      <w:r>
        <w:t xml:space="preserve"> «Herramientas» y «Modelos del cuerpo».</w:t>
      </w:r>
    </w:p>
    <w:p>
      <w:pPr>
        <w:pStyle w:val="ListParagraph"/>
        <w:numPr>
          <w:ilvl w:val="0"/>
          <w:numId w:val="4"/>
        </w:numPr>
        <w:spacing w:after="90" w:line="280"/>
      </w:pPr>
      <w:r>
        <w:rPr>
          <w:b/>
          <w:bCs/>
        </w:rPr>
        <w:t xml:space="preserve">La bandeja trae toda la mesa</w:t>
      </w:r>
      <w:r>
        <w:t xml:space="preserve"> por omisión; los insumos de cada recorrido quedan guardados.</w:t>
      </w:r>
    </w:p>
    <w:p>
      <w:pPr>
        <w:pStyle w:val="ListParagraph"/>
        <w:numPr>
          <w:ilvl w:val="0"/>
          <w:numId w:val="4"/>
        </w:numPr>
        <w:spacing w:after="90" w:line="280"/>
      </w:pPr>
      <w:r>
        <w:rPr>
          <w:b/>
          <w:bCs/>
        </w:rPr>
        <w:t xml:space="preserve">Los modos de ratón, en una barra sobre el lienzo</w:t>
      </w:r>
      <w:r>
        <w:t xml:space="preserve">, de izquierda a derecha; «Info» pasa a llamarse </w:t>
      </w:r>
      <w:r>
        <w:rPr>
          <w:b/>
          <w:bCs/>
        </w:rPr>
        <w:t xml:space="preserve">«Seleccionar estructura»</w:t>
      </w:r>
      <w:r>
        <w:t xml:space="preserve">.</w:t>
      </w:r>
    </w:p>
    <w:p>
      <w:pPr>
        <w:pStyle w:val="ListParagraph"/>
        <w:numPr>
          <w:ilvl w:val="0"/>
          <w:numId w:val="4"/>
        </w:numPr>
        <w:spacing w:after="90" w:line="280"/>
      </w:pPr>
      <w:r>
        <w:rPr>
          <w:b/>
          <w:bCs/>
        </w:rPr>
        <w:t xml:space="preserve">Separar con un clic:</w:t>
      </w:r>
      <w:r>
        <w:t xml:space="preserve"> el clic decide el plano y un músculo se aparta con un solo clic.</w:t>
      </w:r>
    </w:p>
    <w:p>
      <w:pPr>
        <w:pStyle w:val="ListParagraph"/>
        <w:numPr>
          <w:ilvl w:val="0"/>
          <w:numId w:val="4"/>
        </w:numPr>
        <w:spacing w:after="90" w:line="280"/>
      </w:pPr>
      <w:r>
        <w:rPr>
          <w:b/>
          <w:bCs/>
        </w:rPr>
        <w:t xml:space="preserve">Una sola placa</w:t>
      </w:r>
      <w:r>
        <w:t xml:space="preserve">, con direcciones del paciente y orificios que declara el editor; </w:t>
      </w:r>
      <w:r>
        <w:rPr>
          <w:b/>
          <w:bCs/>
        </w:rPr>
        <w:t xml:space="preserve">tornillos por tipo</w:t>
      </w:r>
      <w:r>
        <w:t xml:space="preserve">, secuencia que se despliega sola y trayectoria de dos clics.</w:t>
      </w:r>
    </w:p>
    <w:p>
      <w:pPr>
        <w:pStyle w:val="ListParagraph"/>
        <w:numPr>
          <w:ilvl w:val="0"/>
          <w:numId w:val="4"/>
        </w:numPr>
        <w:spacing w:after="90" w:line="280"/>
      </w:pPr>
      <w:r>
        <w:rPr>
          <w:b/>
          <w:bCs/>
        </w:rPr>
        <w:t xml:space="preserve">Menú «Mover» por ejes</w:t>
      </w:r>
      <w:r>
        <w:t xml:space="preserve"> para el trozo y la placa, y </w:t>
      </w:r>
      <w:r>
        <w:rPr>
          <w:b/>
          <w:bCs/>
        </w:rPr>
        <w:t xml:space="preserve">reducción automática</w:t>
      </w:r>
      <w:r>
        <w:t xml:space="preserve"> que no puntúa.</w:t>
      </w:r>
    </w:p>
    <w:p>
      <w:pPr>
        <w:pStyle w:val="ListParagraph"/>
        <w:numPr>
          <w:ilvl w:val="0"/>
          <w:numId w:val="4"/>
        </w:numPr>
        <w:spacing w:after="90" w:line="280"/>
      </w:pPr>
      <w:r>
        <w:rPr>
          <w:b/>
          <w:bCs/>
        </w:rPr>
        <w:t xml:space="preserve">La broca y el medidor se quedan puestos</w:t>
      </w:r>
      <w:r>
        <w:t xml:space="preserve"> en el orificio mientras se pide el disparo.</w:t>
      </w:r>
    </w:p>
    <w:p>
      <w:pPr>
        <w:pStyle w:val="ListParagraph"/>
        <w:numPr>
          <w:ilvl w:val="0"/>
          <w:numId w:val="4"/>
        </w:numPr>
        <w:spacing w:after="90" w:line="280"/>
      </w:pPr>
      <w:r>
        <w:rPr>
          <w:b/>
          <w:bCs/>
        </w:rPr>
        <w:t xml:space="preserve">Compresión de la fractura:</w:t>
      </w:r>
      <w:r>
        <w:t xml:space="preserve"> orificio oval con tornillo excéntrico, broca de deslizamiento y rosca parcial; objetivo opcional de paso.</w:t>
      </w:r>
    </w:p>
    <w:p>
      <w:pPr>
        <w:pStyle w:val="ListParagraph"/>
        <w:numPr>
          <w:ilvl w:val="0"/>
          <w:numId w:val="4"/>
        </w:numPr>
        <w:spacing w:after="90" w:line="280"/>
      </w:pPr>
      <w:r>
        <w:rPr>
          <w:b/>
          <w:bCs/>
        </w:rPr>
        <w:t xml:space="preserve">Radiografía postoperatoria</w:t>
      </w:r>
      <w:r>
        <w:t xml:space="preserve"> al terminar la cirugía, con su lámina en PNG para presentar.</w:t>
      </w:r>
    </w:p>
    <w:p>
      <w:pPr>
        <w:pStyle w:val="Heading2"/>
      </w:pPr>
      <w:r>
        <w:t xml:space="preserve">13.2 Modelos 3D en dos carpetas y bandeja completa</w:t>
      </w:r>
    </w:p>
    <w:p>
      <w:pPr>
        <w:spacing w:after="120" w:line="288"/>
      </w:pPr>
      <w:r>
        <w:t xml:space="preserve">En «Contenido» → «Modelos 3D» hay </w:t>
      </w:r>
      <w:r>
        <w:rPr>
          <w:b/>
          <w:bCs/>
        </w:rPr>
        <w:t xml:space="preserve">dos pestañas</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y cada desplegable de modelo ofrece solo la suya: el del instrumento, herramientas; el de la cirugía, modelos del cuerpo. Para pasar un modelo de una carpeta a otra se edita y se cambia «Carpeta».</w:t>
      </w:r>
    </w:p>
    <w:p>
      <w:pPr>
        <w:spacing w:after="120" w:line="288"/>
      </w:pPr>
      <w:r>
        <w:rPr>
          <w:b/>
          <w:bCs/>
        </w:rPr>
        <w:t xml:space="preserve">Para el editor — la bandeja.</w:t>
      </w:r>
      <w:r>
        <w:t xml:space="preserve"> Por omisión el residente ve </w:t>
      </w:r>
      <w:r>
        <w:rPr>
          <w:b/>
          <w:bCs/>
        </w:rPr>
        <w:t xml:space="preserve">toda la mesa</w:t>
      </w:r>
      <w:r>
        <w:t xml:space="preserve">: todo el instrumental del catálogo, agrupado por categoría, sin tener que ir metiéndolo. En la consola hay un interruptor sobre la bandeja: </w:t>
      </w:r>
      <w:r>
        <w:rPr>
          <w:b/>
          <w:bCs/>
        </w:rPr>
        <w:t xml:space="preserve">«Toda la mesa»</w:t>
      </w:r>
      <w:r>
        <w:t xml:space="preserve"> o </w:t>
      </w:r>
      <w:r>
        <w:rPr>
          <w:b/>
          <w:bCs/>
        </w:rPr>
        <w:t xml:space="preserve">«Solo lo que elijo»</w:t>
      </w:r>
      <w:r>
        <w:t xml:space="preserve">. Con «Solo lo que elijo» el residente ve únicamente lo que piden los pasos más lo que usted añada como señuelos; es lo que hay que usar para limitar la elección. Las cirugías que ya tenían su bandeja armada </w:t>
      </w:r>
      <w:r>
        <w:rPr>
          <w:b/>
          <w:bCs/>
        </w:rPr>
        <w:t xml:space="preserve">la conservan</w:t>
      </w:r>
      <w:r>
        <w:t xml:space="preserve">.</w:t>
      </w:r>
    </w:p>
    <w:p>
      <w:pPr>
        <w:spacing w:after="120" w:line="288"/>
      </w:pPr>
      <w:r>
        <w:t xml:space="preserve">Una cirugía nueva se opera sin rellenar las piezas: lo que la pestaña «Piezas» no declara toma la capa que trae el modelo (piel, músculo, hueso). Si una herramienta dice que «ninguna pieza de este modelo es piel» (o músculo, o hueso), el modelo no trae esa capa: márquela en «Piezas» o pulse «Rellenar desde el modelo».</w:t>
      </w:r>
    </w:p>
    <w:p>
      <w:pPr>
        <w:pStyle w:val="Heading2"/>
      </w:pPr>
      <w:r>
        <w:t xml:space="preserve">13.3 Insumos utilizados</w:t>
      </w:r>
    </w:p>
    <w:p>
      <w:pPr>
        <w:spacing w:after="120" w:line="288"/>
      </w:pPr>
      <w:r>
        <w:t xml:space="preserve">Al terminar el caso, la consola lista </w:t>
      </w:r>
      <w:r>
        <w:rPr>
          <w:b/>
          <w:bCs/>
        </w:rPr>
        <w:t xml:space="preserve">lo que se usó</w:t>
      </w:r>
      <w:r>
        <w:t xml:space="preserve"> —lo que hizo algo: cortó, separó, pinzó, perforó, midió, cosió o fijó; elegir un instrumento y soltarlo no cuenta—, por categoría y con los tornillos por tipo y largo. </w:t>
      </w:r>
      <w:r>
        <w:rPr>
          <w:b/>
          <w:bCs/>
        </w:rPr>
        <w:t xml:space="preserve">Queda guardado con el recorrido</w:t>
      </w:r>
      <w:r>
        <w:t xml:space="preserve">: al volver a abrir el caso, «Su recorrido anterior» muestra también los insumos.</w:t>
      </w:r>
    </w:p>
    <w:p>
      <w:pPr>
        <w:spacing w:after="120" w:line="288"/>
      </w:pPr>
      <w:r>
        <w:rPr>
          <w:b/>
          <w:bCs/>
        </w:rPr>
        <w:t xml:space="preserve">Para el editor.</w:t>
      </w:r>
      <w:r>
        <w:t xml:space="preserve"> En el editor, cada instrumento de la bandeja lleva una casilla (lo usado, marcada; con «Solo lo que elijo», lo que estaba y no se usó, sin marcar) y el botón </w:t>
      </w:r>
      <w:r>
        <w:rPr>
          <w:b/>
          <w:bCs/>
        </w:rPr>
        <w:t xml:space="preserve">«Usar como bandeja del caso»</w:t>
      </w:r>
      <w:r>
        <w:t xml:space="preserve"> deja la bandeja exactamente con lo marcado y la pasa a «Solo lo que elijo». Sirve para armar la bandeja de un caso recorriéndolo una vez.</w:t>
      </w:r>
    </w:p>
    <w:p>
      <w:pPr>
        <w:pStyle w:val="Heading2"/>
      </w:pPr>
      <w:r>
        <w:t xml:space="preserve">13.4 Los modos, en una barra</w:t>
      </w:r>
    </w:p>
    <w:p>
      <w:pPr>
        <w:spacing w:after="120" w:line="288"/>
      </w:pPr>
      <w:r>
        <w:t xml:space="preserve">Los modos de ratón —</w:t>
      </w:r>
      <w:r>
        <w:rPr>
          <w:b/>
          <w:bCs/>
        </w:rPr>
        <w:t xml:space="preserve">Orbitar, Trazar, Mover, Separar, Pinzar, Reducir, Perforar, Fijar, Coser, Disecar y Seleccionar estructura</w:t>
      </w:r>
      <w:r>
        <w:t xml:space="preserve">— están en una barra sobre el lienzo, de izquierda a derecha, en el orden en que se hace una cirugía; solo salen los que el instrumento en la mano usa. Bajo la barra, una línea dice qué hace el modo; el que pide el paso lleva la marca «paso». En un lienzo estrecho la barra queda en iconos (el nombre sale al pasar el ratón).</w:t>
      </w:r>
    </w:p>
    <w:p>
      <w:pPr>
        <w:spacing w:after="120" w:line="288"/>
      </w:pPr>
      <w:r>
        <w:rPr>
          <w:b/>
          <w:bCs/>
        </w:rPr>
        <w:t xml:space="preserve">«Seleccionar estructura»</w:t>
      </w:r>
      <w:r>
        <w:t xml:space="preserve"> (antes «Info») sirve para todos: un clic en una estructura (músculo, nervio, vaso, hueso) la destaca en azul y abre su ficha a la derecha del modelo, con el nombre, el nombre latino y «Aprenda más» (definición, origen, inserción, inervación, acción e irrigación). Quien edita ve además </w:t>
      </w:r>
      <w:r>
        <w:rPr>
          <w:b/>
          <w:bCs/>
        </w:rPr>
        <w:t xml:space="preserve">«Editar»</w:t>
      </w:r>
      <w:r>
        <w:t xml:space="preserve">, que abre la ficha para corregirla en el momento.</w:t>
      </w:r>
    </w:p>
    <w:p>
      <w:pPr>
        <w:pStyle w:val="Heading2"/>
      </w:pPr>
      <w:r>
        <w:t xml:space="preserve">13.5 Separar con un clic y trabajar por planos</w:t>
      </w:r>
    </w:p>
    <w:p>
      <w:pPr>
        <w:pStyle w:val="ListParagraph"/>
        <w:numPr>
          <w:ilvl w:val="0"/>
          <w:numId w:val="4"/>
        </w:numPr>
        <w:spacing w:after="90" w:line="280"/>
      </w:pPr>
      <w:r>
        <w:t xml:space="preserve">Con un separador en la mano y el modo </w:t>
      </w:r>
      <w:r>
        <w:rPr>
          <w:b/>
          <w:bCs/>
        </w:rPr>
        <w:t xml:space="preserve">Separar</w:t>
      </w:r>
      <w:r>
        <w:t xml:space="preserve">, </w:t>
      </w:r>
      <w:r>
        <w:rPr>
          <w:b/>
          <w:bCs/>
        </w:rPr>
        <w:t xml:space="preserve">un clic en un músculo lo retrae de una vez</w:t>
      </w:r>
      <w:r>
        <w:t xml:space="preserve">, sin abrir la ficha ni elegir el plano; la rueda lo abre o lo cierra, y otro clic en otro músculo lo separa también sin soltar el anterior.</w:t>
      </w:r>
    </w:p>
    <w:p>
      <w:pPr>
        <w:pStyle w:val="ListParagraph"/>
        <w:numPr>
          <w:ilvl w:val="0"/>
          <w:numId w:val="4"/>
        </w:numPr>
        <w:spacing w:after="90" w:line="280"/>
      </w:pPr>
      <w:r>
        <w:t xml:space="preserve">El plano lo decide el clic: sobre el </w:t>
      </w:r>
      <w:r>
        <w:rPr>
          <w:b/>
          <w:bCs/>
        </w:rPr>
        <w:t xml:space="preserve">labio de una herida</w:t>
      </w:r>
      <w:r>
        <w:t xml:space="preserve"> el separador va al plano que se ve (piel o músculo); lejos de todo labio y sobre un músculo, lo retrae. El selector del panel («Automático», «Piel», «Músculo») sigue ahí para forzarlo.</w:t>
      </w:r>
    </w:p>
    <w:p>
      <w:pPr>
        <w:pStyle w:val="ListParagraph"/>
        <w:numPr>
          <w:ilvl w:val="0"/>
          <w:numId w:val="4"/>
        </w:numPr>
        <w:spacing w:after="90" w:line="280"/>
      </w:pPr>
      <w:r>
        <w:t xml:space="preserve">La lista </w:t>
      </w:r>
      <w:r>
        <w:rPr>
          <w:b/>
          <w:bCs/>
        </w:rPr>
        <w:t xml:space="preserve">«Estructuras separadas»</w:t>
      </w:r>
      <w:r>
        <w:t xml:space="preserve"> trae una fila por músculo: un clic en el nombre lo hace el que atiende la rueda, </w:t>
      </w:r>
      <w:r>
        <w:rPr>
          <w:b/>
          <w:bCs/>
        </w:rPr>
        <w:t xml:space="preserve">«Otro lado»</w:t>
      </w:r>
      <w:r>
        <w:t xml:space="preserve"> lo aparta hacia delante o hacia atrás, </w:t>
      </w:r>
      <w:r>
        <w:rPr>
          <w:b/>
          <w:bCs/>
        </w:rPr>
        <w:t xml:space="preserve">«Cortar»</w:t>
      </w:r>
      <w:r>
        <w:t xml:space="preserve"> pone el instrumento de corte en la mano y deja el músculo como objetivo del corte, y la X lo devuelve a su sitio. </w:t>
      </w:r>
      <w:r>
        <w:rPr>
          <w:b/>
          <w:bCs/>
        </w:rPr>
        <w:t xml:space="preserve">Mayúsculas + rueda</w:t>
      </w:r>
      <w:r>
        <w:t xml:space="preserve"> corre la zona retraída a lo largo del músculo.</w:t>
      </w:r>
    </w:p>
    <w:p>
      <w:pPr>
        <w:pStyle w:val="ListParagraph"/>
        <w:numPr>
          <w:ilvl w:val="0"/>
          <w:numId w:val="4"/>
        </w:numPr>
        <w:spacing w:after="90" w:line="280"/>
      </w:pPr>
      <w:r>
        <w:rPr>
          <w:b/>
          <w:bCs/>
        </w:rPr>
        <w:t xml:space="preserve">Para el editor.</w:t>
      </w:r>
      <w:r>
        <w:t xml:space="preserve"> Un paso puede evaluar </w:t>
      </w:r>
      <w:r>
        <w:rPr>
          <w:b/>
          <w:bCs/>
        </w:rPr>
        <w:t xml:space="preserve">«Cortar o separar un músculo concreto»</w:t>
      </w:r>
      <w:r>
        <w:t xml:space="preserve">: se escribe el nombre del objeto del músculo en el modelo y se elige si hay que cortarlo o separarlo. Un abordaje con dos planos son dos pasos seguidos; el orden de los planos también puede ser un objetivo de paso. En la ficha de cada músculo («Estructuras»), los campos «Cortar con» y «Separar con» dejan escritos los instrumentos que se ofrecen.</w:t>
      </w:r>
    </w:p>
    <w:p>
      <w:pPr>
        <w:pStyle w:val="Heading2"/>
      </w:pPr>
      <w:r>
        <w:t xml:space="preserve">13.6 La placa, los tornillos y los orificios</w:t>
      </w:r>
    </w:p>
    <w:p>
      <w:pPr>
        <w:pStyle w:val="ListParagraph"/>
        <w:numPr>
          <w:ilvl w:val="0"/>
          <w:numId w:val="4"/>
        </w:numPr>
        <w:spacing w:after="90" w:line="280"/>
      </w:pPr>
      <w:r>
        <w:rPr>
          <w:b/>
          <w:bCs/>
        </w:rPr>
        <w:t xml:space="preserve">Una sola placa.</w:t>
      </w:r>
      <w:r>
        <w:t xml:space="preserve"> Con una puesta, la que se lleva en la mano ya no sale al mover el ratón; «Quitar la placa» permite empezar otra. La placa se ajusta con tres campos que se </w:t>
      </w:r>
      <w:r>
        <w:rPr>
          <w:b/>
          <w:bCs/>
        </w:rPr>
        <w:t xml:space="preserve">escriben</w:t>
      </w:r>
      <w:r>
        <w:t xml:space="preserve"> —</w:t>
      </w:r>
      <w:r>
        <w:rPr>
          <w:b/>
          <w:bCs/>
        </w:rPr>
        <w:t xml:space="preserve">proximal ↔ distal</w:t>
      </w:r>
      <w:r>
        <w:t xml:space="preserve">, </w:t>
      </w:r>
      <w:r>
        <w:rPr>
          <w:b/>
          <w:bCs/>
        </w:rPr>
        <w:t xml:space="preserve">anterior ↔ posterior</w:t>
      </w:r>
      <w:r>
        <w:t xml:space="preserve"> y </w:t>
      </w:r>
      <w:r>
        <w:rPr>
          <w:b/>
          <w:bCs/>
        </w:rPr>
        <w:t xml:space="preserve">angulación</w:t>
      </w:r>
      <w:r>
        <w:t xml:space="preserve">— con una línea que lo dice como se habla en quirófano («75 mm hacia distal»). Los rangos salen del hueso que hay en pantalla. </w:t>
      </w:r>
      <w:r>
        <w:rPr>
          <w:b/>
          <w:bCs/>
        </w:rPr>
        <w:t xml:space="preserve">«Fijar la placa»</w:t>
      </w:r>
      <w:r>
        <w:t xml:space="preserve"> cierra el ajuste («Soltar» lo reabre).</w:t>
      </w:r>
    </w:p>
    <w:p>
      <w:pPr>
        <w:pStyle w:val="ListParagraph"/>
        <w:numPr>
          <w:ilvl w:val="0"/>
          <w:numId w:val="4"/>
        </w:numPr>
        <w:spacing w:after="90" w:line="280"/>
      </w:pPr>
      <w:r>
        <w:rPr>
          <w:b/>
          <w:bCs/>
        </w:rPr>
        <w:t xml:space="preserve">El orden es perforar, medir y atornillar.</w:t>
      </w:r>
      <w:r>
        <w:t xml:space="preserve"> La broca se centra en el agujero y anota diámetro, largo y si cruzó las dos corticales; el medidor deja anotada su lectura; el tornillo solo entra en un agujero perforado y medido, y si no la consola dice qué falta. Los tornillos, brocas, medidor y destornillador de la placa aparecen solos en la bandeja con la etiqueta «para esta placa».</w:t>
      </w:r>
    </w:p>
    <w:p>
      <w:pPr>
        <w:pStyle w:val="ListParagraph"/>
        <w:numPr>
          <w:ilvl w:val="0"/>
          <w:numId w:val="4"/>
        </w:numPr>
        <w:spacing w:after="90" w:line="280"/>
      </w:pPr>
      <w:r>
        <w:rPr>
          <w:b/>
          <w:bCs/>
        </w:rPr>
        <w:t xml:space="preserve">Tornillos por tipo, diámetro y largo.</w:t>
      </w:r>
      <w:r>
        <w:t xml:space="preserve"> En la bandeja salen separados por tipo (corticales, de esponjosa, de rosca parcial, bloqueados, canulados, otros). Al coger uno, el panel ofrece el </w:t>
      </w:r>
      <w:r>
        <w:rPr>
          <w:b/>
          <w:bCs/>
        </w:rPr>
        <w:t xml:space="preserve">diámetro de una lista</w:t>
      </w:r>
      <w:r>
        <w:t xml:space="preserve"> según su tipo (2,7 · 3,5 · 4,0 · 4,5 · 5,0 · 6,5 mm) y dice qué broca le corresponde; el </w:t>
      </w:r>
      <w:r>
        <w:rPr>
          <w:b/>
          <w:bCs/>
        </w:rPr>
        <w:t xml:space="preserve">largo se escribe</w:t>
      </w:r>
      <w:r>
        <w:t xml:space="preserve"> (con el sugerido del medidor ya puesto). Perforar con otro calibre avisa de que el agujero queda estrecho o ancho.</w:t>
      </w:r>
    </w:p>
    <w:p>
      <w:pPr>
        <w:pStyle w:val="ListParagraph"/>
        <w:numPr>
          <w:ilvl w:val="0"/>
          <w:numId w:val="4"/>
        </w:numPr>
        <w:spacing w:after="90" w:line="280"/>
      </w:pPr>
      <w:r>
        <w:rPr>
          <w:b/>
          <w:bCs/>
        </w:rPr>
        <w:t xml:space="preserve">La secuencia se despliega sola.</w:t>
      </w:r>
      <w:r>
        <w:t xml:space="preserve"> Al terminar un tiempo, el instrumento que sigue se abre en la bandeja (etiqueta «siguiente») y, con «Poner el siguiente en la mano» encendido, pasa a la mano: broca, medidor, tornillo y vuelta a la broca para el orificio siguiente.</w:t>
      </w:r>
    </w:p>
    <w:p>
      <w:pPr>
        <w:pStyle w:val="ListParagraph"/>
        <w:numPr>
          <w:ilvl w:val="0"/>
          <w:numId w:val="4"/>
        </w:numPr>
        <w:spacing w:after="90" w:line="280"/>
      </w:pPr>
      <w:r>
        <w:rPr>
          <w:b/>
          <w:bCs/>
        </w:rPr>
        <w:t xml:space="preserve">Trayectoria de un tornillo con dos clics.</w:t>
      </w:r>
      <w:r>
        <w:t xml:space="preserve"> Con la broca, el medidor o un tornillo en la mano, «Marcar la trayectoria» convierte los dos clics siguientes sobre el hueso en la entrada y la salida: queda dibujada una línea y la broca, el medidor y el tornillo la siguen, </w:t>
      </w:r>
      <w:r>
        <w:rPr>
          <w:b/>
          <w:bCs/>
        </w:rPr>
        <w:t xml:space="preserve">sin placa</w:t>
      </w:r>
      <w:r>
        <w:t xml:space="preserve">, para un tornillo de tracción entre fragmentos.</w:t>
      </w:r>
    </w:p>
    <w:p>
      <w:pPr>
        <w:pStyle w:val="ListParagraph"/>
        <w:numPr>
          <w:ilvl w:val="0"/>
          <w:numId w:val="4"/>
        </w:numPr>
        <w:spacing w:after="90" w:line="280"/>
      </w:pPr>
      <w:r>
        <w:rPr>
          <w:b/>
          <w:bCs/>
        </w:rPr>
        <w:t xml:space="preserve">Para el editor — datos del instrumento.</w:t>
      </w:r>
      <w:r>
        <w:t xml:space="preserve"> Si el modelo 3D de una placa </w:t>
      </w:r>
      <w:r>
        <w:rPr>
          <w:b/>
          <w:bCs/>
        </w:rPr>
        <w:t xml:space="preserve">no trae la posición de sus agujeros</w:t>
      </w:r>
      <w:r>
        <w:t xml:space="preserve">, se escribe </w:t>
      </w:r>
      <w:r>
        <w:rPr>
          <w:b/>
          <w:bCs/>
        </w:rPr>
        <w:t xml:space="preserve">cuántos orificios tiene</w:t>
      </w:r>
      <w:r>
        <w:t xml:space="preserve"> en su instrumento (campo </w:t>
      </w:r>
      <w:r>
        <w:rPr>
          <w:b/>
          <w:bCs/>
        </w:rPr>
        <w:t xml:space="preserve">«Orificios de la placa»</w:t>
      </w:r>
      <w:r>
        <w:t xml:space="preserve">, en el taller anatómico → Instrumental o en el catálogo): los agujeros se reparten a partes iguales a lo largo de la placa. Si el modelo sí los trae, mandan los del modelo y, si el número no coincide, la consola lo avisa. En un tornillo, </w:t>
      </w:r>
      <w:r>
        <w:rPr>
          <w:b/>
          <w:bCs/>
        </w:rPr>
        <w:t xml:space="preserve">«Largo del tornillo (mm)»</w:t>
      </w:r>
      <w:r>
        <w:t xml:space="preserve"> es el largo con que se ofrece al cogerlo y </w:t>
      </w:r>
      <w:r>
        <w:rPr>
          <w:b/>
          <w:bCs/>
        </w:rPr>
        <w:t xml:space="preserve">«Tipo de tornillo»</w:t>
      </w:r>
      <w:r>
        <w:t xml:space="preserve"> decide su grupo y sus diámetros; sin escribirlo, el tipo se deduce del nombre.</w:t>
      </w:r>
    </w:p>
    <w:p>
      <w:pPr>
        <w:pStyle w:val="Heading2"/>
      </w:pPr>
      <w:r>
        <w:t xml:space="preserve">13.7 Mover por ejes y reducción automática</w:t>
      </w:r>
    </w:p>
    <w:p>
      <w:pPr>
        <w:spacing w:after="120" w:line="288"/>
      </w:pPr>
      <w:r>
        <w:t xml:space="preserve">Con un trozo de hueso elegido —agarrado con la pinza de reducción o con «Mover → Un trozo»— aparece bajo los modos un menú de tres botones: </w:t>
      </w:r>
      <w:r>
        <w:rPr>
          <w:b/>
          <w:bCs/>
        </w:rPr>
        <w:t xml:space="preserve">Trasladar</w:t>
      </w:r>
      <w:r>
        <w:t xml:space="preserve"> (ejes coronal, axial y sagital), </w:t>
      </w:r>
      <w:r>
        <w:rPr>
          <w:b/>
          <w:bCs/>
        </w:rPr>
        <w:t xml:space="preserve">Angular</w:t>
      </w:r>
      <w:r>
        <w:t xml:space="preserve"> (coronal: varo/valgo; sagital: antecurvatum/recurvatum) y </w:t>
      </w:r>
      <w:r>
        <w:rPr>
          <w:b/>
          <w:bCs/>
        </w:rPr>
        <w:t xml:space="preserve">Rotar</w:t>
      </w:r>
      <w:r>
        <w:t xml:space="preserve"> (sobre el eje largo, la mala rotación). Los ejes son los del paciente: axial es a lo largo del hueso, coronal de lado a lado y sagital de delante atrás. Elegido un eje, el lienzo dibuja una sola línea y el trozo se mueve con las </w:t>
      </w:r>
      <w:r>
        <w:rPr>
          <w:b/>
          <w:bCs/>
        </w:rPr>
        <w:t xml:space="preserve">flechas del teclado</w:t>
      </w:r>
      <w:r>
        <w:t xml:space="preserve"> (1 mm o 1° por pulsación; Mayúsculas 0,2; Ctrl 5) o </w:t>
      </w:r>
      <w:r>
        <w:rPr>
          <w:b/>
          <w:bCs/>
        </w:rPr>
        <w:t xml:space="preserve">arrastrando</w:t>
      </w:r>
      <w:r>
        <w:t xml:space="preserve">. </w:t>
      </w:r>
      <w:r>
        <w:rPr>
          <w:b/>
          <w:bCs/>
        </w:rPr>
        <w:t xml:space="preserve">Esc</w:t>
      </w:r>
      <w:r>
        <w:t xml:space="preserve"> suelta el eje. Las asas de siempre quedan detrás del interruptor «Asas libres». Con la placa puesta y sin fijar sale el mismo menú.</w:t>
      </w:r>
    </w:p>
    <w:p>
      <w:pPr>
        <w:spacing w:after="120" w:line="288"/>
      </w:pPr>
      <w:r>
        <w:t xml:space="preserve">Con una pinza de reducción en la mano, el panel ofrece </w:t>
      </w:r>
      <w:r>
        <w:rPr>
          <w:b/>
          <w:bCs/>
        </w:rPr>
        <w:t xml:space="preserve">Manual</w:t>
      </w:r>
      <w:r>
        <w:t xml:space="preserve"> (por omisión) y </w:t>
      </w:r>
      <w:r>
        <w:rPr>
          <w:b/>
          <w:bCs/>
        </w:rPr>
        <w:t xml:space="preserve">Automática</w:t>
      </w:r>
      <w:r>
        <w:t xml:space="preserve">. La automática lleva el fragmento a su sitio en 0,6 s y deja el desplazamiento, la angulación y la diástasis en 0. </w:t>
      </w:r>
      <w:r>
        <w:rPr>
          <w:b/>
          <w:bCs/>
        </w:rPr>
        <w:t xml:space="preserve">El ejercicio de reducir no puntúa</w:t>
      </w:r>
      <w:r>
        <w:t xml:space="preserve"> con la automática (a mano sigue puntuando), y el recorrido guarda que se usó: «Su recorrido anterior» lo dice. Es útil cuando el objetivo de la clase es otro.</w:t>
      </w:r>
    </w:p>
    <w:p>
      <w:pPr>
        <w:pStyle w:val="Heading2"/>
      </w:pPr>
      <w:r>
        <w:t xml:space="preserve">13.8 La broca y el medidor se quedan puestos</w:t>
      </w:r>
    </w:p>
    <w:p>
      <w:pPr>
        <w:spacing w:after="120" w:line="288"/>
      </w:pPr>
      <w:r>
        <w:t xml:space="preserve">Al soltar, </w:t>
      </w:r>
      <w:r>
        <w:rPr>
          <w:b/>
          <w:bCs/>
        </w:rPr>
        <w:t xml:space="preserve">la broca se queda puesta en el hoyo</w:t>
      </w:r>
      <w:r>
        <w:t xml:space="preserve"> —no se retira—: se puede salir del lienzo a pulsar «Disparar» y la imagen la enseña a la profundidad en que estaba, que es para lo que sirve el rayo. Se sigue metiendo manteniendo pulsado o con la rueda (0,5 mm por muesca; con Mayúsculas, 0,1; hacia atrás la saca). </w:t>
      </w:r>
      <w:r>
        <w:rPr>
          <w:b/>
          <w:bCs/>
        </w:rPr>
        <w:t xml:space="preserve">«Apagar la broca»</w:t>
      </w:r>
      <w:r>
        <w:t xml:space="preserve"> (o Espacio) la detiene sin retirarla; </w:t>
      </w:r>
      <w:r>
        <w:rPr>
          <w:b/>
          <w:bCs/>
        </w:rPr>
        <w:t xml:space="preserve">«Retirar»</w:t>
      </w:r>
      <w:r>
        <w:t xml:space="preserve">, </w:t>
      </w:r>
      <w:r>
        <w:rPr>
          <w:b/>
          <w:bCs/>
        </w:rPr>
        <w:t xml:space="preserve">Esc</w:t>
      </w:r>
      <w:r>
        <w:t xml:space="preserve"> o el </w:t>
      </w:r>
      <w:r>
        <w:rPr>
          <w:b/>
          <w:bCs/>
        </w:rPr>
        <w:t xml:space="preserve">botón derecho</w:t>
      </w:r>
      <w:r>
        <w:t xml:space="preserve"> la sacan, y queda el túnel con calibre, profundidad, si fue bicortical y el ángulo. El medidor posado en un orificio perforado también se queda ahí mientras se pide el disparo. Cambiar de instrumento o de modo con una puesta la retira.</w:t>
      </w:r>
    </w:p>
    <w:p>
      <w:pPr>
        <w:pStyle w:val="Heading2"/>
      </w:pPr>
      <w:r>
        <w:t xml:space="preserve">13.9 Compresión de la fractura</w:t>
      </w:r>
    </w:p>
    <w:p>
      <w:pPr>
        <w:spacing w:after="120" w:line="288"/>
      </w:pPr>
      <w:r>
        <w:t xml:space="preserve">Con una </w:t>
      </w:r>
      <w:r>
        <w:rPr>
          <w:b/>
          <w:bCs/>
        </w:rPr>
        <w:t xml:space="preserve">placa de compresión</w:t>
      </w:r>
      <w:r>
        <w:t xml:space="preserve"> (DCP o LC-DCP: orificios ovales; LCP: combinados) fijada, el panel enseña el </w:t>
      </w:r>
      <w:r>
        <w:rPr>
          <w:b/>
          <w:bCs/>
        </w:rPr>
        <w:t xml:space="preserve">orificio oval</w:t>
      </w:r>
      <w:r>
        <w:t xml:space="preserve"> en un esquema con una flecha hacia la fractura. Se elige el orificio y se hace </w:t>
      </w:r>
      <w:r>
        <w:rPr>
          <w:b/>
          <w:bCs/>
        </w:rPr>
        <w:t xml:space="preserve">clic dentro del óvalo</w:t>
      </w:r>
      <w:r>
        <w:t xml:space="preserve"> para marcar dónde se broca; el texto dice si es:</w:t>
      </w:r>
    </w:p>
    <w:p>
      <w:pPr>
        <w:pStyle w:val="ListParagraph"/>
        <w:numPr>
          <w:ilvl w:val="0"/>
          <w:numId w:val="4"/>
        </w:numPr>
        <w:spacing w:after="90" w:line="280"/>
      </w:pPr>
      <w:r>
        <w:rPr>
          <w:b/>
          <w:bCs/>
        </w:rPr>
        <w:t xml:space="preserve">céntrico:</w:t>
      </w:r>
      <w:r>
        <w:t xml:space="preserve"> no comprime;</w:t>
      </w:r>
    </w:p>
    <w:p>
      <w:pPr>
        <w:pStyle w:val="ListParagraph"/>
        <w:numPr>
          <w:ilvl w:val="0"/>
          <w:numId w:val="4"/>
        </w:numPr>
        <w:spacing w:after="90" w:line="280"/>
      </w:pPr>
      <w:r>
        <w:rPr>
          <w:b/>
          <w:bCs/>
        </w:rPr>
        <w:t xml:space="preserve">concéntrico hacia la fractura:</w:t>
      </w:r>
      <w:r>
        <w:t xml:space="preserve"> no comprime y tiende a separar;</w:t>
      </w:r>
    </w:p>
    <w:p>
      <w:pPr>
        <w:pStyle w:val="ListParagraph"/>
        <w:numPr>
          <w:ilvl w:val="0"/>
          <w:numId w:val="4"/>
        </w:numPr>
        <w:spacing w:after="90" w:line="280"/>
      </w:pPr>
      <w:r>
        <w:rPr>
          <w:b/>
          <w:bCs/>
        </w:rPr>
        <w:t xml:space="preserve">excéntrico, lejos de la fractura:</w:t>
      </w:r>
      <w:r>
        <w:t xml:space="preserve"> comprime, hasta 1 mm por tornillo.</w:t>
      </w:r>
    </w:p>
    <w:p>
      <w:pPr>
        <w:spacing w:after="120" w:line="288"/>
      </w:pPr>
      <w:r>
        <w:t xml:space="preserve">«Acercar al orificio» lleva la cámara a él y «Volver la vista» la devuelve. La broca entra donde se eligió; al poner el tornillo (no bloqueado) </w:t>
      </w:r>
      <w:r>
        <w:rPr>
          <w:b/>
          <w:bCs/>
        </w:rPr>
        <w:t xml:space="preserve">el fragmento se desliza hacia su sitio y la diástasis baja</w:t>
      </w:r>
      <w:r>
        <w:t xml:space="preserve"> lo comprimido, sin pasar de lo que hay separado. Con un </w:t>
      </w:r>
      <w:r>
        <w:rPr>
          <w:b/>
          <w:bCs/>
        </w:rPr>
        <w:t xml:space="preserve">tornillo de tracción</w:t>
      </w:r>
      <w:r>
        <w:t xml:space="preserve"> por una trayectoria de dos clics que cruza la fractura hay dos formas de comprimir: la </w:t>
      </w:r>
      <w:r>
        <w:rPr>
          <w:b/>
          <w:bCs/>
        </w:rPr>
        <w:t xml:space="preserve">broca de deslizamiento</w:t>
      </w:r>
      <w:r>
        <w:t xml:space="preserve"> (el fragmento cercano con un calibre no menor que el diámetro exterior y el lejano con el de núcleo, perforando en dos tiempos) o un tornillo de </w:t>
      </w:r>
      <w:r>
        <w:rPr>
          <w:b/>
          <w:bCs/>
        </w:rPr>
        <w:t xml:space="preserve">rosca parcial</w:t>
      </w:r>
      <w:r>
        <w:t xml:space="preserve"> con toda la rosca en el fragmento lejano; si la rosca cruza la fractura, no comprime y la consola dice por qué. El panel suma lo comprimido («Compresión: 1,0 mm (tornillo excéntrico)»).</w:t>
      </w:r>
    </w:p>
    <w:p>
      <w:pPr>
        <w:spacing w:after="120" w:line="288"/>
      </w:pPr>
      <w:r>
        <w:rPr>
          <w:b/>
          <w:bCs/>
        </w:rPr>
        <w:t xml:space="preserve">Para el editor.</w:t>
      </w:r>
      <w:r>
        <w:t xml:space="preserve"> Un paso de fijación puede </w:t>
      </w:r>
      <w:r>
        <w:rPr>
          <w:b/>
          <w:bCs/>
        </w:rPr>
        <w:t xml:space="preserve">exigir comprimir</w:t>
      </w:r>
      <w:r>
        <w:t xml:space="preserve">: casilla </w:t>
      </w:r>
      <w:r>
        <w:rPr>
          <w:b/>
          <w:bCs/>
        </w:rPr>
        <w:t xml:space="preserve">«La fijación tiene que comprimir la fractura»</w:t>
      </w:r>
      <w:r>
        <w:t xml:space="preserve">. Sin marcarla, el paso no mira la compresión. </w:t>
      </w:r>
      <w:r>
        <w:rPr>
          <w:b/>
          <w:bCs/>
        </w:rPr>
        <w:t xml:space="preserve">Importante:</w:t>
      </w:r>
      <w:r>
        <w:t xml:space="preserve"> las reglas (qué tan lejos del centro es «excéntrico», cuánto comprime cada tornillo) son una primera propuesta y </w:t>
      </w:r>
      <w:r>
        <w:rPr>
          <w:b/>
          <w:bCs/>
        </w:rPr>
        <w:t xml:space="preserve">deben ser validadas por el traumatólogo</w:t>
      </w:r>
      <w:r>
        <w:t xml:space="preserve">; están escritas en un solo archivo para poder corregirlas.</w:t>
      </w:r>
    </w:p>
    <w:p>
      <w:pPr>
        <w:pStyle w:val="Heading2"/>
      </w:pPr>
      <w:r>
        <w:t xml:space="preserve">13.10 Radiografía postoperatoria y lámina para presentar</w:t>
      </w:r>
    </w:p>
    <w:p>
      <w:pPr>
        <w:spacing w:after="120" w:line="288"/>
      </w:pPr>
      <w:r>
        <w:t xml:space="preserve">Al terminar el último paso, la consola dice </w:t>
      </w:r>
      <w:r>
        <w:rPr>
          <w:b/>
          <w:bCs/>
        </w:rPr>
        <w:t xml:space="preserve">«Cirugía finalizada. ¡Felicidades!»</w:t>
      </w:r>
      <w:r>
        <w:t xml:space="preserve"> y ofrece </w:t>
      </w:r>
      <w:r>
        <w:rPr>
          <w:b/>
          <w:bCs/>
        </w:rPr>
        <w:t xml:space="preserve">Ir a radiografía postoperatoria</w:t>
      </w:r>
      <w:r>
        <w:t xml:space="preserve"> (o </w:t>
      </w:r>
      <w:r>
        <w:rPr>
          <w:b/>
          <w:bCs/>
        </w:rPr>
        <w:t xml:space="preserve">Omitir</w:t>
      </w:r>
      <w:r>
        <w:t xml:space="preserve">, que deja el cierre de siempre). El editor, que ensaya, no ve esta invitación.</w:t>
      </w:r>
    </w:p>
    <w:p>
      <w:pPr>
        <w:pStyle w:val="ListParagraph"/>
        <w:numPr>
          <w:ilvl w:val="0"/>
          <w:numId w:val="4"/>
        </w:numPr>
        <w:spacing w:after="90" w:line="280"/>
      </w:pPr>
      <w:r>
        <w:rPr>
          <w:b/>
          <w:bCs/>
        </w:rPr>
        <w:t xml:space="preserve">La toma.</w:t>
      </w:r>
      <w:r>
        <w:t xml:space="preserve"> Se elige la proyección (AP, lateral u oblicua), el zoom, la penetración (kV) y el contraste. La placa es </w:t>
      </w:r>
      <w:r>
        <w:rPr>
          <w:b/>
          <w:bCs/>
        </w:rPr>
        <w:t xml:space="preserve">rectangular (3 : 4) y en positivo</w:t>
      </w:r>
      <w:r>
        <w:t xml:space="preserve">: el hueso y el metal salen blancos sobre negro, distinta del círculo de la fluoroscopia. No cuenta exposición. Caben </w:t>
      </w:r>
      <w:r>
        <w:rPr>
          <w:b/>
          <w:bCs/>
        </w:rPr>
        <w:t xml:space="preserve">hasta tres</w:t>
      </w:r>
      <w:r>
        <w:t xml:space="preserve"> en la lámina y cada una se puede quitar.</w:t>
      </w:r>
    </w:p>
    <w:p>
      <w:pPr>
        <w:pStyle w:val="ListParagraph"/>
        <w:numPr>
          <w:ilvl w:val="0"/>
          <w:numId w:val="4"/>
        </w:numPr>
        <w:spacing w:after="90" w:line="280"/>
      </w:pPr>
      <w:r>
        <w:rPr>
          <w:b/>
          <w:bCs/>
        </w:rPr>
        <w:t xml:space="preserve">Los datos.</w:t>
      </w:r>
      <w:r>
        <w:t xml:space="preserve"> </w:t>
      </w:r>
      <w:r>
        <w:rPr>
          <w:b/>
          <w:bCs/>
        </w:rPr>
        <w:t xml:space="preserve">Cirujano</w:t>
      </w:r>
      <w:r>
        <w:t xml:space="preserve"> (precargado con el nombre de la cuenta; el «Dr.» lo pone la lámina), </w:t>
      </w:r>
      <w:r>
        <w:rPr>
          <w:b/>
          <w:bCs/>
        </w:rPr>
        <w:t xml:space="preserve">fractura</w:t>
      </w:r>
      <w:r>
        <w:t xml:space="preserve"> (autocompletada con el hueso y la clasificación del caso), </w:t>
      </w:r>
      <w:r>
        <w:rPr>
          <w:b/>
          <w:bCs/>
        </w:rPr>
        <w:t xml:space="preserve">intervención</w:t>
      </w:r>
      <w:r>
        <w:t xml:space="preserve"> (propuesta según lo usado, por ejemplo «Reducción abierta y osteosíntesis con placa DCP 4,5 mm y 6 tornillos»; se corrige o se elige una frase de la lista) y, si se quiere, el equipo.</w:t>
      </w:r>
    </w:p>
    <w:p>
      <w:pPr>
        <w:pStyle w:val="ListParagraph"/>
        <w:numPr>
          <w:ilvl w:val="0"/>
          <w:numId w:val="4"/>
        </w:numPr>
        <w:spacing w:after="90" w:line="280"/>
      </w:pPr>
      <w:r>
        <w:rPr>
          <w:b/>
          <w:bCs/>
        </w:rPr>
        <w:t xml:space="preserve">La lámina.</w:t>
      </w:r>
      <w:r>
        <w:t xml:space="preserve"> «Descargar lámina (PNG)» baja una imagen de </w:t>
      </w:r>
      <w:r>
        <w:rPr>
          <w:b/>
          <w:bCs/>
        </w:rPr>
        <w:t xml:space="preserve">1920 × 1080 con fondo negro</w:t>
      </w:r>
      <w:r>
        <w:t xml:space="preserve">: el caso, el diagnóstico, la intervención, el cirujano, la fecha, el logotipo de TraumaHub y las radiografías. </w:t>
      </w:r>
      <w:r>
        <w:rPr>
          <w:b/>
          <w:bCs/>
        </w:rPr>
        <w:t xml:space="preserve">No lleva los insumos ni el puntaje.</w:t>
      </w:r>
      <w:r>
        <w:t xml:space="preserve"> Pensada para la diapositiva de la reunión clínica.</w:t>
      </w:r>
    </w:p>
    <w:p>
      <w:pPr>
        <w:pStyle w:val="ListParagraph"/>
        <w:numPr>
          <w:ilvl w:val="0"/>
          <w:numId w:val="4"/>
        </w:numPr>
        <w:spacing w:after="90" w:line="280"/>
      </w:pPr>
      <w:r>
        <w:rPr>
          <w:b/>
          <w:bCs/>
        </w:rPr>
        <w:t xml:space="preserve">Dentro del archivo.</w:t>
      </w:r>
      <w:r>
        <w:t xml:space="preserve"> Los mismos datos (autor, título, descripción, fecha) van como metadatos del PNG, de modo que acompañan a la imagen aunque se renombre. Los datos escritos se guardan con el recorrido —no la imagen—; así se podrá contar más adelante cuántas cirugías hizo cada estudiante.</w:t>
      </w:r>
    </w:p>
    <w:p>
      <w:pPr>
        <w:pStyle w:val="Heading2"/>
      </w:pPr>
      <w:r>
        <w:t xml:space="preserve">13.11 Opciones de la herramienta, anchos y pantalla en blanco</w:t>
      </w:r>
    </w:p>
    <w:p>
      <w:pPr>
        <w:pStyle w:val="ListParagraph"/>
        <w:numPr>
          <w:ilvl w:val="0"/>
          <w:numId w:val="4"/>
        </w:numPr>
        <w:spacing w:after="90" w:line="280"/>
      </w:pPr>
      <w:r>
        <w:rPr>
          <w:b/>
          <w:bCs/>
        </w:rPr>
        <w:t xml:space="preserve">Las opciones de la herramienta, a la izquierda del lienzo.</w:t>
      </w:r>
      <w:r>
        <w:t xml:space="preserve"> Al coger un instrumento se despliega a la izquierda del lienzo un recuadro del mismo tamaño y con el mismo comportamiento que la ficha de «Seleccionar estructura» (que va a la derecha). Lleva el modelo y su previsualización, el modo de uso, todo lo que se configura con esa herramienta (potencia, apertura, diámetro y largo del tornillo, broca, medidor…), «Soltar» y, en el editor, «Es el correcto en este paso». En una pantalla estrecha (menos de 1000 px) flota sobre el lienzo. La columna derecha queda para la bandeja.</w:t>
      </w:r>
    </w:p>
    <w:p>
      <w:pPr>
        <w:pStyle w:val="ListParagraph"/>
        <w:numPr>
          <w:ilvl w:val="0"/>
          <w:numId w:val="4"/>
        </w:numPr>
        <w:spacing w:after="90" w:line="280"/>
      </w:pPr>
      <w:r>
        <w:rPr>
          <w:b/>
          <w:bCs/>
        </w:rPr>
        <w:t xml:space="preserve">Anchos que se arrastran.</w:t>
      </w:r>
      <w:r>
        <w:t xml:space="preserve"> Las dos columnas de los lados y los recuadros junto al lienzo (el de la herramienta y el de la estructura) se ensanchan o se angostan </w:t>
      </w:r>
      <w:r>
        <w:rPr>
          <w:b/>
          <w:bCs/>
        </w:rPr>
        <w:t xml:space="preserve">arrastrando su borde con el ratón</w:t>
      </w:r>
      <w:r>
        <w:t xml:space="preserve">. Con el teclado, las flechas ← → mueven de 16 en 16 px, y un doble clic devuelve el ancho de origen. El navegador recuerda cómo se dejaron.</w:t>
      </w:r>
    </w:p>
    <w:p>
      <w:pPr>
        <w:pStyle w:val="ListParagraph"/>
        <w:numPr>
          <w:ilvl w:val="0"/>
          <w:numId w:val="4"/>
        </w:numPr>
        <w:spacing w:after="90" w:line="280"/>
      </w:pPr>
      <w:r>
        <w:rPr>
          <w:b/>
          <w:bCs/>
        </w:rPr>
        <w:t xml:space="preserve">La posición del paciente</w:t>
      </w:r>
      <w:r>
        <w:t xml:space="preserve"> («De pie», «Supino», «Prono») está arriba a la derecha, en la misma fila que los modos («Orbitar», «Trazar»…). «Giro libre» y el giro de 90° siguen en la columna izquierda.</w:t>
      </w:r>
    </w:p>
    <w:p>
      <w:pPr>
        <w:pStyle w:val="ListParagraph"/>
        <w:numPr>
          <w:ilvl w:val="0"/>
          <w:numId w:val="4"/>
        </w:numPr>
        <w:spacing w:after="90" w:line="280"/>
      </w:pPr>
      <w:r>
        <w:rPr>
          <w:b/>
          <w:bCs/>
        </w:rPr>
        <w:t xml:space="preserve">Señalar (solo para el editor).</w:t>
      </w:r>
      <w:r>
        <w:t xml:space="preserve"> El modo «Señalar» sirve para </w:t>
      </w:r>
      <w:r>
        <w:rPr>
          <w:b/>
          <w:bCs/>
        </w:rPr>
        <w:t xml:space="preserve">declarar las piezas del caso</w:t>
      </w:r>
      <w:r>
        <w:t xml:space="preserve">: un clic en un trozo del modelo lo añade a la pestaña «Piezas» con su nombre exacto. El residente no lo tiene.</w:t>
      </w:r>
    </w:p>
    <w:p>
      <w:pPr>
        <w:pStyle w:val="ListParagraph"/>
        <w:numPr>
          <w:ilvl w:val="0"/>
          <w:numId w:val="4"/>
        </w:numPr>
        <w:spacing w:after="90" w:line="280"/>
      </w:pPr>
      <w:r>
        <w:rPr>
          <w:b/>
          <w:bCs/>
        </w:rPr>
        <w:t xml:space="preserve">El aviso de lo que acaba de pasar</w:t>
      </w:r>
      <w:r>
        <w:t xml:space="preserve"> (un acierto, un error, una complicación) sale </w:t>
      </w:r>
      <w:r>
        <w:rPr>
          <w:b/>
          <w:bCs/>
        </w:rPr>
        <w:t xml:space="preserve">a la derecha del recuadro de la herramienta</w:t>
      </w:r>
      <w:r>
        <w:t xml:space="preserve">, sobre el lienzo y bajo su barra, y ya no abajo en la columna derecha. Se cierra con su ✕ y lo reemplaza el siguiente; el registro completo sigue en el pie.</w:t>
      </w:r>
    </w:p>
    <w:p>
      <w:pPr>
        <w:pStyle w:val="ListParagraph"/>
        <w:numPr>
          <w:ilvl w:val="0"/>
          <w:numId w:val="4"/>
        </w:numPr>
        <w:spacing w:after="90" w:line="280"/>
      </w:pPr>
      <w:r>
        <w:rPr>
          <w:b/>
          <w:bCs/>
        </w:rPr>
        <w:t xml:space="preserve">Más margen contra la pantalla en blanco.</w:t>
      </w:r>
      <w:r>
        <w:t xml:space="preserve"> Si el navegador le quita a la página el contexto gráfico, la consola espera </w:t>
      </w:r>
      <w:r>
        <w:rPr>
          <w:b/>
          <w:bCs/>
        </w:rPr>
        <w:t xml:space="preserve">12 segundos</w:t>
      </w:r>
      <w:r>
        <w:t xml:space="preserve"> (antes 3) antes de ofrecer «Recuperar la vista» y, si en </w:t>
      </w:r>
      <w:r>
        <w:rPr>
          <w:b/>
          <w:bCs/>
        </w:rPr>
        <w:t xml:space="preserve">30 segundos</w:t>
      </w:r>
      <w:r>
        <w:t xml:space="preserve"> no vuelve, </w:t>
      </w:r>
      <w:r>
        <w:rPr>
          <w:b/>
          <w:bCs/>
        </w:rPr>
        <w:t xml:space="preserve">monta el lienzo de nuevo sola</w:t>
      </w:r>
      <w:r>
        <w:t xml:space="preserve">, sin tocar el caso, los pasos ni el puntaje. El primer montaje pide todo lo que la pantalla da (hasta 3× la densidad, hasta 16 millones de píxeles); solo tras una pérdida baja el detalle. </w:t>
      </w:r>
      <w:r>
        <w:rPr>
          <w:b/>
          <w:bCs/>
        </w:rPr>
        <w:t xml:space="preserve">Los modelos 3D pueden pesar hasta 20 MB</w:t>
      </w:r>
      <w:r>
        <w:t xml:space="preserve"> (antes 5), pensando en equipos holgados y casos con muchos instrumentos; en un equipo modesto un modelo así puede tardar o no abrir.</w:t>
      </w:r>
    </w:p>
    <w:p>
      <w:pPr>
        <w:pStyle w:val="Heading2"/>
      </w:pPr>
      <w:r>
        <w:t xml:space="preserve">13.12 Modelar una placa fuera del hueso</w:t>
      </w:r>
    </w:p>
    <w:p>
      <w:pPr>
        <w:spacing w:after="120" w:line="288"/>
      </w:pPr>
      <w:r>
        <w:t xml:space="preserve">Una placa se puede </w:t>
      </w:r>
      <w:r>
        <w:rPr>
          <w:b/>
          <w:bCs/>
        </w:rPr>
        <w:t xml:space="preserve">doblar y torcer antes de ponerla en el hueso</w:t>
      </w:r>
      <w:r>
        <w:t xml:space="preserve">, como en pabellón. Con una placa en la mano, el botón </w:t>
      </w:r>
      <w:r>
        <w:rPr>
          <w:b/>
          <w:bCs/>
        </w:rPr>
        <w:t xml:space="preserve">«Llevar a la mesa de modelado»</w:t>
      </w:r>
      <w:r>
        <w:t xml:space="preserve"> deja una copia suelta a un costado del modelo, de cara a quien mira. Se mueve </w:t>
      </w:r>
      <w:r>
        <w:rPr>
          <w:b/>
          <w:bCs/>
        </w:rPr>
        <w:t xml:space="preserve">arrastrándola</w:t>
      </w:r>
      <w:r>
        <w:t xml:space="preserve">, y «15°» (a un lado y a otro) y «Voltear» la giran.</w:t>
      </w:r>
    </w:p>
    <w:p>
      <w:pPr>
        <w:pStyle w:val="ListParagraph"/>
        <w:numPr>
          <w:ilvl w:val="0"/>
          <w:numId w:val="4"/>
        </w:numPr>
        <w:spacing w:after="90" w:line="280"/>
      </w:pPr>
      <w:r>
        <w:rPr>
          <w:b/>
          <w:bCs/>
        </w:rPr>
        <w:t xml:space="preserve">Alicate de doblado de tres puntos</w:t>
      </w:r>
      <w:r>
        <w:t xml:space="preserve"> y </w:t>
      </w:r>
      <w:r>
        <w:rPr>
          <w:b/>
          <w:bCs/>
        </w:rPr>
        <w:t xml:space="preserve">grifa de torsión</w:t>
      </w:r>
      <w:r>
        <w:t xml:space="preserve"> (en «Modelado de placas»): se coge la herramienta, se hace </w:t>
      </w:r>
      <w:r>
        <w:rPr>
          <w:b/>
          <w:bCs/>
        </w:rPr>
        <w:t xml:space="preserve">clic sobre la placa</w:t>
      </w:r>
      <w:r>
        <w:t xml:space="preserve"> donde se quiere actuar —una raya naranja marca el sitio— y la </w:t>
      </w:r>
      <w:r>
        <w:rPr>
          <w:b/>
          <w:bCs/>
        </w:rPr>
        <w:t xml:space="preserve">rueda del ratón</w:t>
      </w:r>
      <w:r>
        <w:t xml:space="preserve"> dobla un grado por muesca (con Mayúsculas, una quinta parte). También hay botones de −5°, −1°, +1° y +5°. La grifa además tuerce.</w:t>
      </w:r>
    </w:p>
    <w:p>
      <w:pPr>
        <w:pStyle w:val="ListParagraph"/>
        <w:numPr>
          <w:ilvl w:val="0"/>
          <w:numId w:val="4"/>
        </w:numPr>
        <w:spacing w:after="90" w:line="280"/>
      </w:pPr>
      <w:r>
        <w:t xml:space="preserve">La malla se deforma de verdad, y el recuadro dice cómo va: «2 dobleces · flexión total 25° · flecha 3,2 mm». «Deshacer el último» quita el último doblez.</w:t>
      </w:r>
    </w:p>
    <w:p>
      <w:pPr>
        <w:pStyle w:val="ListParagraph"/>
        <w:numPr>
          <w:ilvl w:val="0"/>
          <w:numId w:val="4"/>
        </w:numPr>
        <w:spacing w:after="90" w:line="280"/>
      </w:pPr>
      <w:r>
        <w:rPr>
          <w:b/>
          <w:bCs/>
        </w:rPr>
        <w:t xml:space="preserve">Reglas:</w:t>
      </w:r>
      <w:r>
        <w:t xml:space="preserve"> no se dobla sobre un orificio (lo deforma y, en una placa LCP, estropea la rosca del bloqueo); un sitio no cede más de 45° y la placa entera no pasa de 120°; doblar de ida y vuelta en el mismo sitio fatiga el metal. Son una propuesta que el traumatólogo debe revisar.</w:t>
      </w:r>
    </w:p>
    <w:p>
      <w:pPr>
        <w:pStyle w:val="ListParagraph"/>
        <w:numPr>
          <w:ilvl w:val="0"/>
          <w:numId w:val="4"/>
        </w:numPr>
        <w:spacing w:after="90" w:line="280"/>
      </w:pPr>
      <w:r>
        <w:rPr>
          <w:b/>
          <w:bCs/>
        </w:rPr>
        <w:t xml:space="preserve">«Llevar al hueso»</w:t>
      </w:r>
      <w:r>
        <w:t xml:space="preserve"> coge la placa de nuevo; al picar sobre el hueso </w:t>
      </w:r>
      <w:r>
        <w:rPr>
          <w:b/>
          <w:bCs/>
        </w:rPr>
        <w:t xml:space="preserve">se apoya con la forma que se le dio</w:t>
      </w:r>
      <w:r>
        <w:t xml:space="preserve">: sus agujeros quedan donde los dejó el doblez y la separación al hueso se mide con ellos. La placa sale de la mesa.</w:t>
      </w:r>
    </w:p>
    <w:p>
      <w:pPr>
        <w:pStyle w:val="ListParagraph"/>
        <w:numPr>
          <w:ilvl w:val="0"/>
          <w:numId w:val="4"/>
        </w:numPr>
        <w:spacing w:after="90" w:line="280"/>
      </w:pPr>
      <w:r>
        <w:rPr>
          <w:b/>
          <w:bCs/>
        </w:rPr>
        <w:t xml:space="preserve">Todavía no:</w:t>
      </w:r>
      <w:r>
        <w:t xml:space="preserve"> la plantilla maleable de aluminio no copia aún el contorno del hueso, y no se avisa si la placa doblada se cruza con el hueso.</w:t>
      </w:r>
    </w:p>
    <w:p>
      <w:pPr>
        <w:pStyle w:val="Heading2"/>
      </w:pPr>
      <w:r>
        <w:t xml:space="preserve">13.13 Despegar el periostio</w:t>
      </w:r>
    </w:p>
    <w:p>
      <w:pPr>
        <w:spacing w:after="120" w:line="288"/>
      </w:pPr>
      <w:r>
        <w:t xml:space="preserve">El </w:t>
      </w:r>
      <w:r>
        <w:rPr>
          <w:b/>
          <w:bCs/>
        </w:rPr>
        <w:t xml:space="preserve">elevador de Freer</w:t>
      </w:r>
      <w:r>
        <w:t xml:space="preserve"> (hojas de 3 y 5 mm), el </w:t>
      </w:r>
      <w:r>
        <w:rPr>
          <w:b/>
          <w:bCs/>
        </w:rPr>
        <w:t xml:space="preserve">periostótomo AO / Lambotte</w:t>
      </w:r>
      <w:r>
        <w:t xml:space="preserve"> (6 y 14 mm) y el </w:t>
      </w:r>
      <w:r>
        <w:rPr>
          <w:b/>
          <w:bCs/>
        </w:rPr>
        <w:t xml:space="preserve">periostótomo de Farabeuf</w:t>
      </w:r>
      <w:r>
        <w:t xml:space="preserve"> (11 y 15 mm) despegan el periostio de la cortical, como se hace antes de apoyar una placa. Al cogerlos el modo pasa a </w:t>
      </w:r>
      <w:r>
        <w:rPr>
          <w:b/>
          <w:bCs/>
        </w:rPr>
        <w:t xml:space="preserve">«Elevar»</w:t>
      </w:r>
      <w:r>
        <w:t xml:space="preserve">.</w:t>
      </w:r>
    </w:p>
    <w:p>
      <w:pPr>
        <w:pStyle w:val="ListParagraph"/>
        <w:numPr>
          <w:ilvl w:val="0"/>
          <w:numId w:val="4"/>
        </w:numPr>
        <w:spacing w:after="90" w:line="280"/>
      </w:pPr>
      <w:r>
        <w:t xml:space="preserve">Se elige la </w:t>
      </w:r>
      <w:r>
        <w:rPr>
          <w:b/>
          <w:bCs/>
        </w:rPr>
        <w:t xml:space="preserve">hoja</w:t>
      </w:r>
      <w:r>
        <w:t xml:space="preserve"> en el recuadro, se </w:t>
      </w:r>
      <w:r>
        <w:rPr>
          <w:b/>
          <w:bCs/>
        </w:rPr>
        <w:t xml:space="preserve">mantiene pulsado y se arrastra sobre el hueso</w:t>
      </w:r>
      <w:r>
        <w:t xml:space="preserve">, y queda una franja clara —del ancho de la hoja— donde el hueso ya no tiene periostio. Para verla hay que apagar la capa «Músculo».</w:t>
      </w:r>
    </w:p>
    <w:p>
      <w:pPr>
        <w:pStyle w:val="ListParagraph"/>
        <w:numPr>
          <w:ilvl w:val="0"/>
          <w:numId w:val="4"/>
        </w:numPr>
        <w:spacing w:after="90" w:line="280"/>
      </w:pPr>
      <w:r>
        <w:t xml:space="preserve">El recuadro dice cuánto se despegó («Expuesto: unos 390 mm²»); </w:t>
      </w:r>
      <w:r>
        <w:rPr>
          <w:b/>
          <w:bCs/>
        </w:rPr>
        <w:t xml:space="preserve">«Volver a cubrir el hueso»</w:t>
      </w:r>
      <w:r>
        <w:t xml:space="preserve"> lo borra.</w:t>
      </w:r>
    </w:p>
    <w:p>
      <w:pPr>
        <w:pStyle w:val="ListParagraph"/>
        <w:numPr>
          <w:ilvl w:val="0"/>
          <w:numId w:val="4"/>
        </w:numPr>
        <w:spacing w:after="90" w:line="280"/>
      </w:pPr>
      <w:r>
        <w:rPr>
          <w:b/>
          <w:bCs/>
        </w:rPr>
        <w:t xml:space="preserve">Al fijar la placa</w:t>
      </w:r>
      <w:r>
        <w:t xml:space="preserve">, la consola avisa si no se despegó nada, qué agujeros caen sobre periostio sin despegar y si se despegó de más (sobre unos 2.500 mm² el hueso empieza a perder irrigación). Es un consejo, no una traba. Las cifras son una propuesta que el traumatólogo debe revisar.</w:t>
      </w:r>
    </w:p>
    <w:p>
      <w:pPr>
        <w:pStyle w:val="Heading2"/>
      </w:pPr>
      <w:r>
        <w:t xml:space="preserve">13.14 La aguja de Kirschner</w:t>
      </w:r>
    </w:p>
    <w:p>
      <w:pPr>
        <w:spacing w:after="120" w:line="288"/>
      </w:pPr>
      <w:r>
        <w:t xml:space="preserve">La </w:t>
      </w:r>
      <w:r>
        <w:rPr>
          <w:b/>
          <w:bCs/>
        </w:rPr>
        <w:t xml:space="preserve">aguja de Kirschner</w:t>
      </w:r>
      <w:r>
        <w:t xml:space="preserve"> (1,6 mm) se clava con el motor y, a diferencia de una broca, </w:t>
      </w:r>
      <w:r>
        <w:rPr>
          <w:b/>
          <w:bCs/>
        </w:rPr>
        <w:t xml:space="preserve">se queda puesta</w:t>
      </w:r>
      <w:r>
        <w:t xml:space="preserve">: al «Retirar» el motor, la aguja sigue clavada, se ve en la escena y en la fluoroscopia y asoma por fuera del hueso.</w:t>
      </w:r>
    </w:p>
    <w:p>
      <w:pPr>
        <w:pStyle w:val="ListParagraph"/>
        <w:numPr>
          <w:ilvl w:val="0"/>
          <w:numId w:val="4"/>
        </w:numPr>
        <w:spacing w:after="90" w:line="280"/>
      </w:pPr>
      <w:r>
        <w:t xml:space="preserve">Se apunta al hueso, se </w:t>
      </w:r>
      <w:r>
        <w:rPr>
          <w:b/>
          <w:bCs/>
        </w:rPr>
        <w:t xml:space="preserve">mantiene pulsado</w:t>
      </w:r>
      <w:r>
        <w:t xml:space="preserve"> y avanza. El recuadro de la herramienta lista cada aguja («Aguja 2 · 26,5 mm · bicortical · asoma 123 mm»).</w:t>
      </w:r>
    </w:p>
    <w:p>
      <w:pPr>
        <w:pStyle w:val="ListParagraph"/>
        <w:numPr>
          <w:ilvl w:val="0"/>
          <w:numId w:val="4"/>
        </w:numPr>
        <w:spacing w:after="90" w:line="280"/>
      </w:pPr>
      <w:r>
        <w:t xml:space="preserve">Avisa si </w:t>
      </w:r>
      <w:r>
        <w:rPr>
          <w:b/>
          <w:bCs/>
        </w:rPr>
        <w:t xml:space="preserve">quedó en la cortical cercana</w:t>
      </w:r>
      <w:r>
        <w:t xml:space="preserve"> (sujeta poco) o si </w:t>
      </w:r>
      <w:r>
        <w:rPr>
          <w:b/>
          <w:bCs/>
        </w:rPr>
        <w:t xml:space="preserve">se pasó más de 3 mm de la cortical opuesta</w:t>
      </w:r>
      <w:r>
        <w:t xml:space="preserve"> (riesgo para vasos y nervios). Las cifras son una propuesta que el traumatólogo debe revisar.</w:t>
      </w:r>
    </w:p>
    <w:p>
      <w:pPr>
        <w:pStyle w:val="ListParagraph"/>
        <w:numPr>
          <w:ilvl w:val="0"/>
          <w:numId w:val="4"/>
        </w:numPr>
        <w:spacing w:after="90" w:line="280"/>
      </w:pPr>
      <w:r>
        <w:t xml:space="preserve">Caben hasta 6 a la vez. </w:t>
      </w:r>
      <w:r>
        <w:rPr>
          <w:b/>
          <w:bCs/>
        </w:rPr>
        <w:t xml:space="preserve">«Quitar las agujas»</w:t>
      </w:r>
      <w:r>
        <w:t xml:space="preserve"> las retira todas, igual que «Reiniciar el caso».</w:t>
      </w:r>
    </w:p>
    <w:p>
      <w:pPr>
        <w:pStyle w:val="Heading2"/>
      </w:pPr>
      <w:r>
        <w:t xml:space="preserve">13.15 Lo que conviene saber al editar</w:t>
      </w:r>
    </w:p>
    <w:p>
      <w:pPr>
        <w:pStyle w:val="ListParagraph"/>
        <w:numPr>
          <w:ilvl w:val="0"/>
          <w:numId w:val="4"/>
        </w:numPr>
        <w:spacing w:after="90" w:line="280"/>
      </w:pPr>
      <w:r>
        <w:t xml:space="preserve">Los campos nuevos del instrumento («Orificios de la placa», «Largo del tornillo (mm)», «Tipo de tornillo») y del paso («La fijación tiene que comprimir la fractura») son </w:t>
      </w:r>
      <w:r>
        <w:rPr>
          <w:b/>
          <w:bCs/>
        </w:rPr>
        <w:t xml:space="preserve">opcionales</w:t>
      </w:r>
      <w:r>
        <w:t xml:space="preserve">: sin escribirlos, todo funciona como antes.</w:t>
      </w:r>
    </w:p>
    <w:p>
      <w:pPr>
        <w:pStyle w:val="ListParagraph"/>
        <w:numPr>
          <w:ilvl w:val="0"/>
          <w:numId w:val="4"/>
        </w:numPr>
        <w:spacing w:after="90" w:line="280"/>
      </w:pPr>
      <w:r>
        <w:t xml:space="preserve">Si la pantalla del lienzo se queda en blanco, la plataforma ahora recupera el contexto gráfico o vuelve a montar la escena y lo dice, en vez de quedarse muda.</w:t>
      </w:r>
    </w:p>
    <w:p>
      <w:pPr>
        <w:pStyle w:val="ListParagraph"/>
        <w:numPr>
          <w:ilvl w:val="0"/>
          <w:numId w:val="4"/>
        </w:numPr>
        <w:spacing w:after="90" w:line="280"/>
      </w:pPr>
      <w:r>
        <w:t xml:space="preserve">Los tornillos largos, la broca que se pasa de la cortical y la fijación sin compresión (si el paso la exige) son complicaciones que se registran en «Su recorrido anterior».</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1.4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