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Tras una pérdida el lienzo vuelve con menos detalle (primero menor resolución, a la segunda sin suavizado de bordes) y el dibujo nunca pasa de 4 millones de píxeles. El tope de 5 MB de los modelos 3D </w:t>
      </w:r>
      <w:r>
        <w:rPr>
          <w:b/>
          <w:bCs/>
        </w:rPr>
        <w:t xml:space="preserve">no se subió</w:t>
      </w:r>
      <w:r>
        <w:t xml:space="preserve">, a propósito: un modelo más pesado gasta más memoria de la tarjeta gráfica y empeora el blanco que se quiere evitar.</w:t>
      </w:r>
    </w:p>
    <w:p>
      <w:pPr>
        <w:pStyle w:val="Heading2"/>
      </w:pPr>
      <w:r>
        <w:t xml:space="preserve">13.12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