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Opciones de la herramienta, anchos y pantalla en blanco</w:t>
      </w:r>
    </w:p>
    <w:p>
      <w:pPr>
        <w:pStyle w:val="ListParagraph"/>
        <w:numPr>
          <w:ilvl w:val="0"/>
          <w:numId w:val="4"/>
        </w:numPr>
        <w:spacing w:after="90" w:line="280"/>
      </w:pPr>
      <w:r>
        <w:rPr>
          <w:b/>
          <w:bCs/>
        </w:rPr>
        <w:t xml:space="preserve">Las opciones de la herramienta, a la izquierda del lienzo.</w:t>
      </w:r>
      <w:r>
        <w:t xml:space="preserve"> Al coger un instrumento se despliega a la izquierda del lienzo un recuadro del mismo tamaño y con el mismo comportamiento que la ficha de «Seleccionar estructura» (que va a la derecha). Lleva el modelo y su previsualización, el modo de uso, todo lo que se configura con esa herramienta (potencia, apertura, diámetro y largo del tornillo, broca, medidor…), «Soltar» y, en el editor, «Es el correcto en este paso». En una pantalla estrecha (menos de 1000 px) flota sobre el lienzo. La columna derecha queda para la bandeja.</w:t>
      </w:r>
    </w:p>
    <w:p>
      <w:pPr>
        <w:pStyle w:val="ListParagraph"/>
        <w:numPr>
          <w:ilvl w:val="0"/>
          <w:numId w:val="4"/>
        </w:numPr>
        <w:spacing w:after="90" w:line="280"/>
      </w:pPr>
      <w:r>
        <w:rPr>
          <w:b/>
          <w:bCs/>
        </w:rPr>
        <w:t xml:space="preserve">Anchos que se arrastran.</w:t>
      </w:r>
      <w:r>
        <w:t xml:space="preserve"> Las dos columnas de los lados y los recuadros junto al lienzo (el de la herramienta y el de la estructura) se ensanchan o se angostan </w:t>
      </w:r>
      <w:r>
        <w:rPr>
          <w:b/>
          <w:bCs/>
        </w:rPr>
        <w:t xml:space="preserve">arrastrando su borde con el ratón</w:t>
      </w:r>
      <w:r>
        <w:t xml:space="preserve">. Con el teclado, las flechas ← → mueven de 16 en 16 px, y un doble clic devuelve el ancho de origen. El navegador recuerda cómo se dejaron.</w:t>
      </w:r>
    </w:p>
    <w:p>
      <w:pPr>
        <w:pStyle w:val="ListParagraph"/>
        <w:numPr>
          <w:ilvl w:val="0"/>
          <w:numId w:val="4"/>
        </w:numPr>
        <w:spacing w:after="90" w:line="280"/>
      </w:pPr>
      <w:r>
        <w:rPr>
          <w:b/>
          <w:bCs/>
        </w:rPr>
        <w:t xml:space="preserve">La posición del paciente</w:t>
      </w:r>
      <w:r>
        <w:t xml:space="preserve"> («De pie», «Supino», «Prono») está arriba a la derecha, en la misma fila que los modos («Orbitar», «Trazar»…). «Giro libre» y el giro de 90° siguen en la columna izquierda.</w:t>
      </w:r>
    </w:p>
    <w:p>
      <w:pPr>
        <w:pStyle w:val="ListParagraph"/>
        <w:numPr>
          <w:ilvl w:val="0"/>
          <w:numId w:val="4"/>
        </w:numPr>
        <w:spacing w:after="90" w:line="280"/>
      </w:pPr>
      <w:r>
        <w:rPr>
          <w:b/>
          <w:bCs/>
        </w:rPr>
        <w:t xml:space="preserve">Señalar (solo para el editor).</w:t>
      </w:r>
      <w:r>
        <w:t xml:space="preserve"> El modo «Señalar» sirve para </w:t>
      </w:r>
      <w:r>
        <w:rPr>
          <w:b/>
          <w:bCs/>
        </w:rPr>
        <w:t xml:space="preserve">declarar las piezas del caso</w:t>
      </w:r>
      <w:r>
        <w:t xml:space="preserve">: un clic en un trozo del modelo lo añade a la pestaña «Piezas» con su nombre exacto. El residente no lo tiene.</w:t>
      </w:r>
    </w:p>
    <w:p>
      <w:pPr>
        <w:pStyle w:val="ListParagraph"/>
        <w:numPr>
          <w:ilvl w:val="0"/>
          <w:numId w:val="4"/>
        </w:numPr>
        <w:spacing w:after="90" w:line="280"/>
      </w:pPr>
      <w:r>
        <w:rPr>
          <w:b/>
          <w:bCs/>
        </w:rPr>
        <w:t xml:space="preserve">El aviso de lo que acaba de pasar</w:t>
      </w:r>
      <w:r>
        <w:t xml:space="preserve"> (un acierto, un error, una complicación) sale </w:t>
      </w:r>
      <w:r>
        <w:rPr>
          <w:b/>
          <w:bCs/>
        </w:rPr>
        <w:t xml:space="preserve">a la derecha del recuadro de la herramienta</w:t>
      </w:r>
      <w:r>
        <w:t xml:space="preserve">, sobre el lienzo y bajo su barra, y ya no abajo en la columna derecha. Se cierra con su ✕ y lo reemplaza el siguiente; el registro completo sigue en el pie.</w:t>
      </w:r>
    </w:p>
    <w:p>
      <w:pPr>
        <w:pStyle w:val="ListParagraph"/>
        <w:numPr>
          <w:ilvl w:val="0"/>
          <w:numId w:val="4"/>
        </w:numPr>
        <w:spacing w:after="90" w:line="280"/>
      </w:pPr>
      <w:r>
        <w:rPr>
          <w:b/>
          <w:bCs/>
        </w:rPr>
        <w:t xml:space="preserve">Más margen contra la pantalla en blanco.</w:t>
      </w:r>
      <w:r>
        <w:t xml:space="preserve"> Si el navegador le quita a la página el contexto gráfico, la consola espera </w:t>
      </w:r>
      <w:r>
        <w:rPr>
          <w:b/>
          <w:bCs/>
        </w:rPr>
        <w:t xml:space="preserve">12 segundos</w:t>
      </w:r>
      <w:r>
        <w:t xml:space="preserve"> (antes 3) antes de ofrecer «Recuperar la vista» y, si en </w:t>
      </w:r>
      <w:r>
        <w:rPr>
          <w:b/>
          <w:bCs/>
        </w:rPr>
        <w:t xml:space="preserve">30 segundos</w:t>
      </w:r>
      <w:r>
        <w:t xml:space="preserve"> no vuelve, </w:t>
      </w:r>
      <w:r>
        <w:rPr>
          <w:b/>
          <w:bCs/>
        </w:rPr>
        <w:t xml:space="preserve">monta el lienzo de nuevo sola</w:t>
      </w:r>
      <w:r>
        <w:t xml:space="preserve">, sin tocar el caso, los pasos ni el puntaje. El primer montaje pide todo lo que la pantalla da (hasta 3× la densidad, hasta 16 millones de píxeles); solo tras una pérdida baja el detalle. </w:t>
      </w:r>
      <w:r>
        <w:rPr>
          <w:b/>
          <w:bCs/>
        </w:rPr>
        <w:t xml:space="preserve">Los modelos 3D pueden pesar hasta 20 MB</w:t>
      </w:r>
      <w:r>
        <w:t xml:space="preserve"> (antes 5), pensando en equipos holgados y casos con muchos instrumentos; en un equipo modesto un modelo así puede tardar o no abrir.</w:t>
      </w:r>
    </w:p>
    <w:p>
      <w:pPr>
        <w:pStyle w:val="Heading2"/>
      </w:pPr>
      <w:r>
        <w:t xml:space="preserve">13.12 Modelar una placa fuera del hueso</w:t>
      </w:r>
    </w:p>
    <w:p>
      <w:pPr>
        <w:spacing w:after="120" w:line="288"/>
      </w:pPr>
      <w:r>
        <w:t xml:space="preserve">Una placa se puede </w:t>
      </w:r>
      <w:r>
        <w:rPr>
          <w:b/>
          <w:bCs/>
        </w:rPr>
        <w:t xml:space="preserve">doblar y torcer antes de ponerla en el hueso</w:t>
      </w:r>
      <w:r>
        <w:t xml:space="preserve">, como en pabellón. Con una placa en la mano, el botón </w:t>
      </w:r>
      <w:r>
        <w:rPr>
          <w:b/>
          <w:bCs/>
        </w:rPr>
        <w:t xml:space="preserve">«Llevar a la mesa de modelado»</w:t>
      </w:r>
      <w:r>
        <w:t xml:space="preserve"> deja una copia suelta a un costado del modelo, de cara a quien mira. Se mueve </w:t>
      </w:r>
      <w:r>
        <w:rPr>
          <w:b/>
          <w:bCs/>
        </w:rPr>
        <w:t xml:space="preserve">arrastrándola</w:t>
      </w:r>
      <w:r>
        <w:t xml:space="preserve">, y «15°» (a un lado y a otro) y «Voltear» la giran.</w:t>
      </w:r>
    </w:p>
    <w:p>
      <w:pPr>
        <w:pStyle w:val="ListParagraph"/>
        <w:numPr>
          <w:ilvl w:val="0"/>
          <w:numId w:val="4"/>
        </w:numPr>
        <w:spacing w:after="90" w:line="280"/>
      </w:pPr>
      <w:r>
        <w:rPr>
          <w:b/>
          <w:bCs/>
        </w:rPr>
        <w:t xml:space="preserve">Alicate de doblado de tres puntos</w:t>
      </w:r>
      <w:r>
        <w:t xml:space="preserve"> y </w:t>
      </w:r>
      <w:r>
        <w:rPr>
          <w:b/>
          <w:bCs/>
        </w:rPr>
        <w:t xml:space="preserve">grifa de torsión</w:t>
      </w:r>
      <w:r>
        <w:t xml:space="preserve"> (en «Modelado de placas»): se coge la herramienta, se hace </w:t>
      </w:r>
      <w:r>
        <w:rPr>
          <w:b/>
          <w:bCs/>
        </w:rPr>
        <w:t xml:space="preserve">clic sobre la placa</w:t>
      </w:r>
      <w:r>
        <w:t xml:space="preserve"> donde se quiere actuar —una raya naranja marca el sitio— y la </w:t>
      </w:r>
      <w:r>
        <w:rPr>
          <w:b/>
          <w:bCs/>
        </w:rPr>
        <w:t xml:space="preserve">rueda del ratón</w:t>
      </w:r>
      <w:r>
        <w:t xml:space="preserve"> dobla un grado por muesca (con Mayúsculas, una quinta parte). También hay botones de −5°, −1°, +1° y +5°. La grifa además tuerce.</w:t>
      </w:r>
    </w:p>
    <w:p>
      <w:pPr>
        <w:pStyle w:val="ListParagraph"/>
        <w:numPr>
          <w:ilvl w:val="0"/>
          <w:numId w:val="4"/>
        </w:numPr>
        <w:spacing w:after="90" w:line="280"/>
      </w:pPr>
      <w:r>
        <w:t xml:space="preserve">La malla se deforma de verdad, y el recuadro dice cómo va: «2 dobleces · flexión total 25° · flecha 3,2 mm». «Deshacer el último» quita el último doblez.</w:t>
      </w:r>
    </w:p>
    <w:p>
      <w:pPr>
        <w:pStyle w:val="ListParagraph"/>
        <w:numPr>
          <w:ilvl w:val="0"/>
          <w:numId w:val="4"/>
        </w:numPr>
        <w:spacing w:after="90" w:line="280"/>
      </w:pPr>
      <w:r>
        <w:rPr>
          <w:b/>
          <w:bCs/>
        </w:rPr>
        <w:t xml:space="preserve">Reglas:</w:t>
      </w:r>
      <w:r>
        <w:t xml:space="preserve"> no se dobla sobre un orificio (lo deforma y, en una placa LCP, estropea la rosca del bloqueo); un sitio no cede más de 45° y la placa entera no pasa de 120°; doblar de ida y vuelta en el mismo sitio fatiga el metal. Son una propuesta que el traumatólogo debe revisar.</w:t>
      </w:r>
    </w:p>
    <w:p>
      <w:pPr>
        <w:pStyle w:val="ListParagraph"/>
        <w:numPr>
          <w:ilvl w:val="0"/>
          <w:numId w:val="4"/>
        </w:numPr>
        <w:spacing w:after="90" w:line="280"/>
      </w:pPr>
      <w:r>
        <w:rPr>
          <w:b/>
          <w:bCs/>
        </w:rPr>
        <w:t xml:space="preserve">«Llevar al hueso»</w:t>
      </w:r>
      <w:r>
        <w:t xml:space="preserve"> coge la placa de nuevo; al picar sobre el hueso </w:t>
      </w:r>
      <w:r>
        <w:rPr>
          <w:b/>
          <w:bCs/>
        </w:rPr>
        <w:t xml:space="preserve">se apoya con la forma que se le dio</w:t>
      </w:r>
      <w:r>
        <w:t xml:space="preserve">: sus agujeros quedan donde los dejó el doblez y la separación al hueso se mide con ellos. La placa sale de la mesa.</w:t>
      </w:r>
    </w:p>
    <w:p>
      <w:pPr>
        <w:pStyle w:val="ListParagraph"/>
        <w:numPr>
          <w:ilvl w:val="0"/>
          <w:numId w:val="4"/>
        </w:numPr>
        <w:spacing w:after="90" w:line="280"/>
      </w:pPr>
      <w:r>
        <w:rPr>
          <w:b/>
          <w:bCs/>
        </w:rPr>
        <w:t xml:space="preserve">Todavía no:</w:t>
      </w:r>
      <w:r>
        <w:t xml:space="preserve"> la plantilla maleable de aluminio no copia aún el contorno del hueso, y no se avisa si la placa doblada se cruza con el hueso.</w:t>
      </w:r>
    </w:p>
    <w:p>
      <w:pPr>
        <w:pStyle w:val="Heading2"/>
      </w:pPr>
      <w:r>
        <w:t xml:space="preserve">13.13 Despegar el periostio</w:t>
      </w:r>
    </w:p>
    <w:p>
      <w:pPr>
        <w:spacing w:after="120" w:line="288"/>
      </w:pPr>
      <w:r>
        <w:t xml:space="preserve">El </w:t>
      </w:r>
      <w:r>
        <w:rPr>
          <w:b/>
          <w:bCs/>
        </w:rPr>
        <w:t xml:space="preserve">elevador de Freer</w:t>
      </w:r>
      <w:r>
        <w:t xml:space="preserve"> (hojas de 3 y 5 mm), el </w:t>
      </w:r>
      <w:r>
        <w:rPr>
          <w:b/>
          <w:bCs/>
        </w:rPr>
        <w:t xml:space="preserve">periostótomo AO / Lambotte</w:t>
      </w:r>
      <w:r>
        <w:t xml:space="preserve"> (6 y 14 mm) y el </w:t>
      </w:r>
      <w:r>
        <w:rPr>
          <w:b/>
          <w:bCs/>
        </w:rPr>
        <w:t xml:space="preserve">periostótomo de Farabeuf</w:t>
      </w:r>
      <w:r>
        <w:t xml:space="preserve"> (11 y 15 mm) despegan el periostio de la cortical, como se hace antes de apoyar una placa. Al cogerlos el modo pasa a </w:t>
      </w:r>
      <w:r>
        <w:rPr>
          <w:b/>
          <w:bCs/>
        </w:rPr>
        <w:t xml:space="preserve">«Elevar»</w:t>
      </w:r>
      <w:r>
        <w:t xml:space="preserve">.</w:t>
      </w:r>
    </w:p>
    <w:p>
      <w:pPr>
        <w:pStyle w:val="ListParagraph"/>
        <w:numPr>
          <w:ilvl w:val="0"/>
          <w:numId w:val="4"/>
        </w:numPr>
        <w:spacing w:after="90" w:line="280"/>
      </w:pPr>
      <w:r>
        <w:t xml:space="preserve">Se elige la </w:t>
      </w:r>
      <w:r>
        <w:rPr>
          <w:b/>
          <w:bCs/>
        </w:rPr>
        <w:t xml:space="preserve">hoja</w:t>
      </w:r>
      <w:r>
        <w:t xml:space="preserve"> en el recuadro, se </w:t>
      </w:r>
      <w:r>
        <w:rPr>
          <w:b/>
          <w:bCs/>
        </w:rPr>
        <w:t xml:space="preserve">mantiene pulsado y se arrastra sobre el hueso</w:t>
      </w:r>
      <w:r>
        <w:t xml:space="preserve">, y queda una franja clara —del ancho de la hoja— donde el hueso ya no tiene periostio. Para verla hay que apagar la capa «Músculo».</w:t>
      </w:r>
    </w:p>
    <w:p>
      <w:pPr>
        <w:pStyle w:val="ListParagraph"/>
        <w:numPr>
          <w:ilvl w:val="0"/>
          <w:numId w:val="4"/>
        </w:numPr>
        <w:spacing w:after="90" w:line="280"/>
      </w:pPr>
      <w:r>
        <w:t xml:space="preserve">El recuadro dice cuánto se despegó («Expuesto: unos 390 mm²»); </w:t>
      </w:r>
      <w:r>
        <w:rPr>
          <w:b/>
          <w:bCs/>
        </w:rPr>
        <w:t xml:space="preserve">«Volver a cubrir el hueso»</w:t>
      </w:r>
      <w:r>
        <w:t xml:space="preserve"> lo borra.</w:t>
      </w:r>
    </w:p>
    <w:p>
      <w:pPr>
        <w:pStyle w:val="ListParagraph"/>
        <w:numPr>
          <w:ilvl w:val="0"/>
          <w:numId w:val="4"/>
        </w:numPr>
        <w:spacing w:after="90" w:line="280"/>
      </w:pPr>
      <w:r>
        <w:rPr>
          <w:b/>
          <w:bCs/>
        </w:rPr>
        <w:t xml:space="preserve">Al fijar la placa</w:t>
      </w:r>
      <w:r>
        <w:t xml:space="preserve">, la consola avisa si no se despegó nada, qué agujeros caen sobre periostio sin despegar y si se despegó de más (sobre unos 2.500 mm² el hueso empieza a perder irrigación). Es un consejo, no una traba. Las cifras son una propuesta que el traumatólogo debe revisar.</w:t>
      </w:r>
    </w:p>
    <w:p>
      <w:pPr>
        <w:pStyle w:val="Heading2"/>
      </w:pPr>
      <w:r>
        <w:t xml:space="preserve">13.14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