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Despegar el periostio</w:t>
      </w:r>
    </w:p>
    <w:p>
      <w:pPr>
        <w:spacing w:after="120" w:line="288"/>
      </w:pPr>
      <w:r>
        <w:t xml:space="preserve">El </w:t>
      </w:r>
      <w:r>
        <w:rPr>
          <w:b/>
          <w:bCs/>
        </w:rPr>
        <w:t xml:space="preserve">elevador de Freer</w:t>
      </w:r>
      <w:r>
        <w:t xml:space="preserve"> (hojas de 3 y 5 mm), el </w:t>
      </w:r>
      <w:r>
        <w:rPr>
          <w:b/>
          <w:bCs/>
        </w:rPr>
        <w:t xml:space="preserve">periostótomo AO / Lambotte</w:t>
      </w:r>
      <w:r>
        <w:t xml:space="preserve"> (6 y 14 mm) y el </w:t>
      </w:r>
      <w:r>
        <w:rPr>
          <w:b/>
          <w:bCs/>
        </w:rPr>
        <w:t xml:space="preserve">periostótomo de Farabeuf</w:t>
      </w:r>
      <w:r>
        <w:t xml:space="preserve"> (11 y 15 mm) despegan el periostio de la cortical, como se hace antes de apoyar una placa. Al cogerlos el modo pasa a </w:t>
      </w:r>
      <w:r>
        <w:rPr>
          <w:b/>
          <w:bCs/>
        </w:rPr>
        <w:t xml:space="preserve">«Elevar»</w:t>
      </w:r>
      <w:r>
        <w:t xml:space="preserve">.</w:t>
      </w:r>
    </w:p>
    <w:p>
      <w:pPr>
        <w:pStyle w:val="ListParagraph"/>
        <w:numPr>
          <w:ilvl w:val="0"/>
          <w:numId w:val="4"/>
        </w:numPr>
        <w:spacing w:after="90" w:line="280"/>
      </w:pPr>
      <w:r>
        <w:t xml:space="preserve">Se elige la </w:t>
      </w:r>
      <w:r>
        <w:rPr>
          <w:b/>
          <w:bCs/>
        </w:rPr>
        <w:t xml:space="preserve">hoja</w:t>
      </w:r>
      <w:r>
        <w:t xml:space="preserve"> en el recuadro, se </w:t>
      </w:r>
      <w:r>
        <w:rPr>
          <w:b/>
          <w:bCs/>
        </w:rPr>
        <w:t xml:space="preserve">mantiene pulsado y se arrastra sobre el hueso</w:t>
      </w:r>
      <w:r>
        <w:t xml:space="preserve">, y queda una franja clara —del ancho de la hoja— donde el hueso ya no tiene periostio. Para verla hay que apagar la capa «Músculo».</w:t>
      </w:r>
    </w:p>
    <w:p>
      <w:pPr>
        <w:pStyle w:val="ListParagraph"/>
        <w:numPr>
          <w:ilvl w:val="0"/>
          <w:numId w:val="4"/>
        </w:numPr>
        <w:spacing w:after="90" w:line="280"/>
      </w:pPr>
      <w:r>
        <w:t xml:space="preserve">El recuadro dice cuánto se despegó («Expuesto: unos 390 mm²»); </w:t>
      </w:r>
      <w:r>
        <w:rPr>
          <w:b/>
          <w:bCs/>
        </w:rPr>
        <w:t xml:space="preserve">«Volver a cubrir el hueso»</w:t>
      </w:r>
      <w:r>
        <w:t xml:space="preserve"> lo borra.</w:t>
      </w:r>
    </w:p>
    <w:p>
      <w:pPr>
        <w:pStyle w:val="ListParagraph"/>
        <w:numPr>
          <w:ilvl w:val="0"/>
          <w:numId w:val="4"/>
        </w:numPr>
        <w:spacing w:after="90" w:line="280"/>
      </w:pPr>
      <w:r>
        <w:rPr>
          <w:b/>
          <w:bCs/>
        </w:rPr>
        <w:t xml:space="preserve">Al fijar la placa</w:t>
      </w:r>
      <w:r>
        <w:t xml:space="preserve">, la consola avisa si no se despegó nada, qué agujeros caen sobre periostio sin despegar y si se despegó de más (sobre unos 2.500 mm² el hueso empieza a perder irrigación). Es un consejo, no una traba. Las cifras son una propuesta que el traumatólogo debe revisar.</w:t>
      </w:r>
    </w:p>
    <w:p>
      <w:pPr>
        <w:pStyle w:val="Heading2"/>
      </w:pPr>
      <w:r>
        <w:t xml:space="preserve">13.14 La aguja de Kirschner</w:t>
      </w:r>
    </w:p>
    <w:p>
      <w:pPr>
        <w:spacing w:after="120" w:line="288"/>
      </w:pPr>
      <w:r>
        <w:t xml:space="preserve">La </w:t>
      </w:r>
      <w:r>
        <w:rPr>
          <w:b/>
          <w:bCs/>
        </w:rPr>
        <w:t xml:space="preserve">aguja de Kirschner</w:t>
      </w:r>
      <w:r>
        <w:t xml:space="preserve"> (1,6 mm) se clava con el motor y, a diferencia de una broca, </w:t>
      </w:r>
      <w:r>
        <w:rPr>
          <w:b/>
          <w:bCs/>
        </w:rPr>
        <w:t xml:space="preserve">se queda puesta</w:t>
      </w:r>
      <w:r>
        <w:t xml:space="preserve">: al «Retirar» el motor, la aguja sigue clavada, se ve en la escena y en la fluoroscopia y asoma por fuera del hueso.</w:t>
      </w:r>
    </w:p>
    <w:p>
      <w:pPr>
        <w:pStyle w:val="ListParagraph"/>
        <w:numPr>
          <w:ilvl w:val="0"/>
          <w:numId w:val="4"/>
        </w:numPr>
        <w:spacing w:after="90" w:line="280"/>
      </w:pPr>
      <w:r>
        <w:t xml:space="preserve">Se apunta al hueso, se </w:t>
      </w:r>
      <w:r>
        <w:rPr>
          <w:b/>
          <w:bCs/>
        </w:rPr>
        <w:t xml:space="preserve">mantiene pulsado</w:t>
      </w:r>
      <w:r>
        <w:t xml:space="preserve"> y avanza. El recuadro de la herramienta lista cada aguja («Aguja 2 · 26,5 mm · bicortical · asoma 123 mm»).</w:t>
      </w:r>
    </w:p>
    <w:p>
      <w:pPr>
        <w:pStyle w:val="ListParagraph"/>
        <w:numPr>
          <w:ilvl w:val="0"/>
          <w:numId w:val="4"/>
        </w:numPr>
        <w:spacing w:after="90" w:line="280"/>
      </w:pPr>
      <w:r>
        <w:t xml:space="preserve">Avisa si </w:t>
      </w:r>
      <w:r>
        <w:rPr>
          <w:b/>
          <w:bCs/>
        </w:rPr>
        <w:t xml:space="preserve">quedó en la cortical cercana</w:t>
      </w:r>
      <w:r>
        <w:t xml:space="preserve"> (sujeta poco) o si </w:t>
      </w:r>
      <w:r>
        <w:rPr>
          <w:b/>
          <w:bCs/>
        </w:rPr>
        <w:t xml:space="preserve">se pasó más de 3 mm de la cortical opuesta</w:t>
      </w:r>
      <w:r>
        <w:t xml:space="preserve"> (riesgo para vasos y nervios). Las cifras son una propuesta que el traumatólogo debe revisar.</w:t>
      </w:r>
    </w:p>
    <w:p>
      <w:pPr>
        <w:pStyle w:val="ListParagraph"/>
        <w:numPr>
          <w:ilvl w:val="0"/>
          <w:numId w:val="4"/>
        </w:numPr>
        <w:spacing w:after="90" w:line="280"/>
      </w:pPr>
      <w:r>
        <w:t xml:space="preserve">Caben hasta 6 a la vez. </w:t>
      </w:r>
      <w:r>
        <w:rPr>
          <w:b/>
          <w:bCs/>
        </w:rPr>
        <w:t xml:space="preserve">«Quitar las agujas»</w:t>
      </w:r>
      <w:r>
        <w:t xml:space="preserve"> las retira todas, igual que «Reiniciar el caso».</w:t>
      </w:r>
    </w:p>
    <w:p>
      <w:pPr>
        <w:pStyle w:val="Heading2"/>
      </w:pPr>
      <w:r>
        <w:t xml:space="preserve">13.15 El enclavado endomedular, paso a paso</w:t>
      </w:r>
    </w:p>
    <w:p>
      <w:pPr>
        <w:spacing w:after="120" w:line="288"/>
      </w:pPr>
      <w:r>
        <w:t xml:space="preserve">Las herramientas del grupo </w:t>
      </w:r>
      <w:r>
        <w:rPr>
          <w:b/>
          <w:bCs/>
        </w:rPr>
        <w:t xml:space="preserve">Enclavado endomedular</w:t>
      </w:r>
      <w:r>
        <w:t xml:space="preserve"> (punzón iniciador, guía de punta de oliva, dedo reductor, fresa canulada y tubo de intercambio) llevan el modo </w:t>
      </w:r>
      <w:r>
        <w:rPr>
          <w:b/>
          <w:bCs/>
        </w:rPr>
        <w:t xml:space="preserve">«Enclavar»</w:t>
      </w:r>
      <w:r>
        <w:t xml:space="preserve"> y se usan </w:t>
      </w:r>
      <w:r>
        <w:rPr>
          <w:b/>
          <w:bCs/>
        </w:rPr>
        <w:t xml:space="preserve">en orden</w:t>
      </w:r>
      <w:r>
        <w:t xml:space="preserve">.</w:t>
      </w:r>
    </w:p>
    <w:p>
      <w:pPr>
        <w:pStyle w:val="ListParagraph"/>
        <w:numPr>
          <w:ilvl w:val="0"/>
          <w:numId w:val="4"/>
        </w:numPr>
        <w:spacing w:after="90" w:line="280"/>
      </w:pPr>
      <w:r>
        <w:rPr>
          <w:b/>
          <w:bCs/>
        </w:rPr>
        <w:t xml:space="preserve">Entrada</w:t>
      </w:r>
      <w:r>
        <w:t xml:space="preserve">: con el punzón, un clic sobre el extremo proximal del hueso, por delante. Aro verde si sirve (hasta unos 25 mm del extremo y en línea con el canal); naranja si no: se corrige con otro clic.</w:t>
      </w:r>
    </w:p>
    <w:p>
      <w:pPr>
        <w:pStyle w:val="ListParagraph"/>
        <w:numPr>
          <w:ilvl w:val="0"/>
          <w:numId w:val="4"/>
        </w:numPr>
        <w:spacing w:after="90" w:line="280"/>
      </w:pPr>
      <w:r>
        <w:rPr>
          <w:b/>
          <w:bCs/>
        </w:rPr>
        <w:t xml:space="preserve">Guía</w:t>
      </w:r>
      <w:r>
        <w:t xml:space="preserve">: </w:t>
      </w:r>
      <w:r>
        <w:rPr>
          <w:b/>
          <w:bCs/>
        </w:rPr>
        <w:t xml:space="preserve">mantenga pulsado</w:t>
      </w:r>
      <w:r>
        <w:t xml:space="preserve"> en el lienzo para empujarla por el canal hasta unos 10 mm del extremo distal. Si los fragmentos están desalineados se </w:t>
      </w:r>
      <w:r>
        <w:rPr>
          <w:b/>
          <w:bCs/>
        </w:rPr>
        <w:t xml:space="preserve">atasca en el foco</w:t>
      </w:r>
      <w:r>
        <w:t xml:space="preserve">: reduzca mejor o ayúdese con el </w:t>
      </w:r>
      <w:r>
        <w:rPr>
          <w:b/>
          <w:bCs/>
        </w:rPr>
        <w:t xml:space="preserve">dedo reductor</w:t>
      </w:r>
      <w:r>
        <w:t xml:space="preserve"> (un clic lo pone o lo quita).</w:t>
      </w:r>
    </w:p>
    <w:p>
      <w:pPr>
        <w:pStyle w:val="ListParagraph"/>
        <w:numPr>
          <w:ilvl w:val="0"/>
          <w:numId w:val="4"/>
        </w:numPr>
        <w:spacing w:after="90" w:line="280"/>
      </w:pPr>
      <w:r>
        <w:rPr>
          <w:b/>
          <w:bCs/>
        </w:rPr>
        <w:t xml:space="preserve">Fresado</w:t>
      </w:r>
      <w:r>
        <w:t xml:space="preserve">: con la guía en el extremo distal, mantenga pulsado para pasar la cabeza elegida en el recuadro y suba </w:t>
      </w:r>
      <w:r>
        <w:rPr>
          <w:b/>
          <w:bCs/>
        </w:rPr>
        <w:t xml:space="preserve">de 0,5 en 0,5 mm</w:t>
      </w:r>
      <w:r>
        <w:t xml:space="preserve"> hasta 1 a 1,5 mm sobre el calibre del clavo de la bandeja. Un salto de más de 1 mm o fresar de más avisa.</w:t>
      </w:r>
    </w:p>
    <w:p>
      <w:pPr>
        <w:pStyle w:val="ListParagraph"/>
        <w:numPr>
          <w:ilvl w:val="0"/>
          <w:numId w:val="4"/>
        </w:numPr>
        <w:spacing w:after="90" w:line="280"/>
      </w:pPr>
      <w:r>
        <w:rPr>
          <w:b/>
          <w:bCs/>
        </w:rPr>
        <w:t xml:space="preserve">Cambio de guía</w:t>
      </w:r>
      <w:r>
        <w:t xml:space="preserve">: con el tubo de intercambio, un clic cambia la de punta de oliva por la lisa. El recuadro lista cada paso y dice qué falta antes del clavo; «Retirar la guía» y «Quitar el enclavado» deshacen.</w:t>
      </w:r>
    </w:p>
    <w:p>
      <w:pPr>
        <w:pStyle w:val="ListParagraph"/>
        <w:numPr>
          <w:ilvl w:val="0"/>
          <w:numId w:val="4"/>
        </w:numPr>
        <w:spacing w:after="90" w:line="280"/>
      </w:pPr>
      <w:r>
        <w:t xml:space="preserve">La guía se ve en la fluoroscopia; el canal fresado se ve como un tubo ámbar a través del hueso, solo en la escena. Las cifras son una propuesta, pensada para la tibia, que el traumatólogo debe revisar. El clavo y su inserción son la etapa siguiente.</w:t>
      </w:r>
    </w:p>
    <w:p>
      <w:pPr>
        <w:pStyle w:val="Heading2"/>
      </w:pPr>
      <w:r>
        <w:t xml:space="preserve">13.16 Introducir y asentar el clavo</w:t>
      </w:r>
    </w:p>
    <w:p>
      <w:pPr>
        <w:spacing w:after="120" w:line="288"/>
      </w:pPr>
      <w:r>
        <w:t xml:space="preserve">Con el canal fresado y la guía lisa puesta, el </w:t>
      </w:r>
      <w:r>
        <w:rPr>
          <w:b/>
          <w:bCs/>
        </w:rPr>
        <w:t xml:space="preserve">clavo</w:t>
      </w:r>
      <w:r>
        <w:t xml:space="preserve"> de la bandeja (por ejemplo «Clavo tibial 9 × 330 mm») se coge y </w:t>
      </w:r>
      <w:r>
        <w:rPr>
          <w:b/>
          <w:bCs/>
        </w:rPr>
        <w:t xml:space="preserve">un clic lo introduce unos 40 mm con la mano</w:t>
      </w:r>
      <w:r>
        <w:t xml:space="preserve">. Se asienta con el arco, el impactador y el martillo.</w:t>
      </w:r>
    </w:p>
    <w:p>
      <w:pPr>
        <w:pStyle w:val="ListParagraph"/>
        <w:numPr>
          <w:ilvl w:val="0"/>
          <w:numId w:val="4"/>
        </w:numPr>
        <w:spacing w:after="90" w:line="280"/>
      </w:pPr>
      <w:r>
        <w:rPr>
          <w:b/>
          <w:bCs/>
        </w:rPr>
        <w:t xml:space="preserve">Arco de inserción</w:t>
      </w:r>
      <w:r>
        <w:t xml:space="preserve">: un clic lo monta en el clavo (otro lo retira). Hace falta para golpear con el impactador.</w:t>
      </w:r>
    </w:p>
    <w:p>
      <w:pPr>
        <w:pStyle w:val="ListParagraph"/>
        <w:numPr>
          <w:ilvl w:val="0"/>
          <w:numId w:val="4"/>
        </w:numPr>
        <w:spacing w:after="90" w:line="280"/>
      </w:pPr>
      <w:r>
        <w:rPr>
          <w:b/>
          <w:bCs/>
        </w:rPr>
        <w:t xml:space="preserve">Impactador</w:t>
      </w:r>
      <w:r>
        <w:t xml:space="preserve">: va conectado al arco y </w:t>
      </w:r>
      <w:r>
        <w:rPr>
          <w:b/>
          <w:bCs/>
        </w:rPr>
        <w:t xml:space="preserve">cada clic es un golpe</w:t>
      </w:r>
      <w:r>
        <w:t xml:space="preserve">: avanza 8 mm si el canal tiene 1 mm o más de holgura sobre el clavo, 3 mm si es justa y nada si no cabe (entonces hay que fresar más).</w:t>
      </w:r>
    </w:p>
    <w:p>
      <w:pPr>
        <w:pStyle w:val="ListParagraph"/>
        <w:numPr>
          <w:ilvl w:val="0"/>
          <w:numId w:val="4"/>
        </w:numPr>
        <w:spacing w:after="90" w:line="280"/>
      </w:pPr>
      <w:r>
        <w:rPr>
          <w:b/>
          <w:bCs/>
        </w:rPr>
        <w:t xml:space="preserve">Martillo</w:t>
      </w:r>
      <w:r>
        <w:t xml:space="preserve">: también avanza el clavo, pero golpea su extremo sin protección y avisa de que deforma la rosca donde va el arco.</w:t>
      </w:r>
    </w:p>
    <w:p>
      <w:pPr>
        <w:pStyle w:val="ListParagraph"/>
        <w:numPr>
          <w:ilvl w:val="0"/>
          <w:numId w:val="4"/>
        </w:numPr>
        <w:spacing w:after="90" w:line="280"/>
      </w:pPr>
      <w:r>
        <w:t xml:space="preserve">El recuadro dice si el clavo asoma, queda </w:t>
      </w:r>
      <w:r>
        <w:rPr>
          <w:b/>
          <w:bCs/>
        </w:rPr>
        <w:t xml:space="preserve">a ras (ideal)</w:t>
      </w:r>
      <w:r>
        <w:t xml:space="preserve">, queda </w:t>
      </w:r>
      <w:r>
        <w:rPr>
          <w:b/>
          <w:bCs/>
        </w:rPr>
        <w:t xml:space="preserve">hundido</w:t>
      </w:r>
      <w:r>
        <w:t xml:space="preserve"> (más de 10 mm cuesta retirarlo) o </w:t>
      </w:r>
      <w:r>
        <w:rPr>
          <w:b/>
          <w:bCs/>
        </w:rPr>
        <w:t xml:space="preserve">pasó la articulación</w:t>
      </w:r>
      <w:r>
        <w:t xml:space="preserve">, y juzga su </w:t>
      </w:r>
      <w:r>
        <w:rPr>
          <w:b/>
          <w:bCs/>
        </w:rPr>
        <w:t xml:space="preserve">largo</w:t>
      </w:r>
      <w:r>
        <w:t xml:space="preserve"> contra el canal (deben sobrar de 10 a 40 mm). «Retirar el clavo» lo saca. El clavo se ve en la fluoroscopia.</w:t>
      </w:r>
    </w:p>
    <w:p>
      <w:pPr>
        <w:pStyle w:val="ListParagraph"/>
        <w:numPr>
          <w:ilvl w:val="0"/>
          <w:numId w:val="4"/>
        </w:numPr>
        <w:spacing w:after="90" w:line="280"/>
      </w:pPr>
      <w:r>
        <w:t xml:space="preserve">Sin entrada buena, guía hasta el fondo, fresado suficiente para ese clavo y guía lisa, el clavo no entra y el aviso dice qué falta. Las cifras son una propuesta que el traumatólogo debe revisar. Los tornillos de bloqueo son la etapa siguiente.</w:t>
      </w:r>
    </w:p>
    <w:p>
      <w:pPr>
        <w:pStyle w:val="Heading2"/>
      </w:pPr>
      <w:r>
        <w:t xml:space="preserve">13.17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