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120" w:line="360" w:lineRule="auto"/>
        <w:rPr>
          <w:color w:val="1f1f1f"/>
          <w:sz w:val="24"/>
          <w:szCs w:val="24"/>
        </w:rPr>
      </w:pPr>
      <w:bookmarkStart w:colFirst="0" w:colLast="0" w:name="_ozb2a73zp4ak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60" w:lineRule="auto"/>
        <w:jc w:val="center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360" w:lineRule="auto"/>
        <w:jc w:val="center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Caso Semestral: "Colegio Bernardo O’Higgins – Plataforma de libro de clases digital"</w:t>
      </w:r>
    </w:p>
    <w:p w:rsidR="00000000" w:rsidDel="00000000" w:rsidP="00000000" w:rsidRDefault="00000000" w:rsidRPr="00000000" w14:paraId="00000004">
      <w:pPr>
        <w:spacing w:after="240" w:lin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Integrantes: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Vicente Manriquez, Davier Ramos, Dilan Micolta</w:t>
      </w:r>
    </w:p>
    <w:p w:rsidR="00000000" w:rsidDel="00000000" w:rsidP="00000000" w:rsidRDefault="00000000" w:rsidRPr="00000000" w14:paraId="0000000D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Asignatura: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DESARROLLO FULLSTACK III (DSY1106). </w:t>
      </w:r>
    </w:p>
    <w:p w:rsidR="00000000" w:rsidDel="00000000" w:rsidP="00000000" w:rsidRDefault="00000000" w:rsidRPr="00000000" w14:paraId="0000000E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Sección: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002D</w:t>
      </w:r>
    </w:p>
    <w:p w:rsidR="00000000" w:rsidDel="00000000" w:rsidP="00000000" w:rsidRDefault="00000000" w:rsidRPr="00000000" w14:paraId="0000000F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Fecha: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09/04/2026</w:t>
      </w:r>
    </w:p>
    <w:p w:rsidR="00000000" w:rsidDel="00000000" w:rsidP="00000000" w:rsidRDefault="00000000" w:rsidRPr="00000000" w14:paraId="00000010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color w:val="1f1f1f"/>
          <w:sz w:val="30"/>
          <w:szCs w:val="30"/>
        </w:rPr>
      </w:pPr>
      <w:bookmarkStart w:colFirst="0" w:colLast="0" w:name="_ebvjhioauiid" w:id="1"/>
      <w:bookmarkEnd w:id="1"/>
      <w:r w:rsidDel="00000000" w:rsidR="00000000" w:rsidRPr="00000000">
        <w:rPr>
          <w:rFonts w:ascii="Arial" w:cs="Arial" w:eastAsia="Arial" w:hAnsi="Arial"/>
          <w:color w:val="1f1f1f"/>
          <w:sz w:val="30"/>
          <w:szCs w:val="30"/>
          <w:rtl w:val="0"/>
        </w:rPr>
        <w:t xml:space="preserve">Índice de Contenidos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1. Contextualización del caso ....................................................................................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2. Selección de tecnologías y herramientas técnicas ................................................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3. Selección y justificación de patrones de arquitectura ............................................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4. Comunicación entre microservicios .......................................................................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5. Arquitectura de microservicios y contenedores .....................................................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6. Evaluación general del diseño (MVP) ....................................................................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7. Bibliografía .............................................................................................................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rFonts w:ascii="Arial" w:cs="Arial" w:eastAsia="Arial" w:hAnsi="Arial"/>
          <w:color w:val="1f1f1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f1f1f"/>
          <w:sz w:val="30"/>
          <w:szCs w:val="30"/>
          <w:rtl w:val="0"/>
        </w:rPr>
        <w:t xml:space="preserve">1. Contextualización del caso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El Colegio Bernardo O’Higgins busca implementar una plataforma digital de libro de clases que permita gestionar de manera centralizada la información académica, reemplazando el uso de registros físicos y sistemas fragmentados. El sistema debe considerar múltiples actores: docentes, estudiantes, apoderados y personal administrativo.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Los procesos clave a incorporar incluyen la matrícula de estudiantes, asignación a cursos, gestión de asignaturas y docentes, registro de asistencia, ingreso de calificaciones, generación de reportes en PDF y la comunicación entre los distintos actores. Dado el alcance del proyecto y su duración estimada de tres meses, la solución se abordará como un Producto Mínimo Viable (MVP), priorizando funcionalidades esenciales que permitan validar la propuesta tecnológica sin sobrecargar el desarrollo inicial.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rFonts w:ascii="Arial" w:cs="Arial" w:eastAsia="Arial" w:hAnsi="Arial"/>
          <w:color w:val="1f1f1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f1f1f"/>
          <w:sz w:val="30"/>
          <w:szCs w:val="30"/>
          <w:rtl w:val="0"/>
        </w:rPr>
        <w:t xml:space="preserve">2. Selección de tecnologías y herramientas técnicas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Para el desarrollo del sistema se seleccionó un conjunto de tecnologías alineadas con los requerimientos del caso y el enfoque MVP, priorizando herramientas robustas y escalables: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Framework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Java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Spring Boot, Spring Cloud, Spring Data JPA (Hibernate) y Maven. Spring Boot permite desarrollar microservicios estructurados, mientras que Spring Cloud facilita la implementación de patrones como API Gateway. JPA permite la persistencia eficiente de datos.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React.js, Vite y Axios. React permite construir interfaces modulares empaquetadas como módulos NPM, y Vite optimiza el rendimiento en la etapa de desarrollo.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465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465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PostgreSQL. Es un motor relacional ideal para manejar las estructuras del colegio (estudiantes, cursos) y es plenamente compatible con JPA.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Mensajería Asíncrona: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RabbitMQ. Permite implementar una arquitectura basada en eventos para procesos en segundo plano.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Seguridad: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Spring Security y JWT (JSON Web Tokens) para controlar el acceso mediante autenticación y autorización por roles (docente, apoderado, administrador).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Despliegue y Orquestación: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Docker y Kubernetes.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rFonts w:ascii="Arial" w:cs="Arial" w:eastAsia="Arial" w:hAnsi="Arial"/>
          <w:color w:val="1f1f1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f1f1f"/>
          <w:sz w:val="30"/>
          <w:szCs w:val="30"/>
          <w:rtl w:val="0"/>
        </w:rPr>
        <w:t xml:space="preserve">3. Selección y justificación de patrones de arquitectura</w:t>
      </w:r>
    </w:p>
    <w:p w:rsidR="00000000" w:rsidDel="00000000" w:rsidP="00000000" w:rsidRDefault="00000000" w:rsidRPr="00000000" w14:paraId="00000049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line="360" w:lineRule="auto"/>
        <w:rPr>
          <w:rFonts w:ascii="Arial" w:cs="Arial" w:eastAsia="Arial" w:hAnsi="Arial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color w:val="262626"/>
        </w:rPr>
        <w:drawing>
          <wp:inline distB="114300" distT="114300" distL="114300" distR="114300">
            <wp:extent cx="5915025" cy="311943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11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Se adopta una arquitectura basada en microservicios, utilizando un enfoque híbrido de comunicación REST y Event-Driven Architecture (EDA).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ind w:left="465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ind w:left="465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ind w:left="465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ind w:left="465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ind w:left="465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Microservicios: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El sistema se divide en dominios independientes (Matrícula, Académico, Asistencia, Evaluaciones, Reportes). Esto facilita la escalabilidad, el mantenimiento y el desarrollo paralelo por parte del equipo.</w:t>
      </w:r>
    </w:p>
    <w:p w:rsidR="00000000" w:rsidDel="00000000" w:rsidP="00000000" w:rsidRDefault="00000000" w:rsidRPr="00000000" w14:paraId="00000051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line="360" w:lineRule="auto"/>
        <w:ind w:left="465" w:firstLine="0"/>
        <w:rPr>
          <w:color w:val="1f1f1f"/>
          <w:sz w:val="24"/>
          <w:szCs w:val="24"/>
        </w:rPr>
      </w:pPr>
      <w:r w:rsidDel="00000000" w:rsidR="00000000" w:rsidRPr="00000000">
        <w:rPr>
          <w:color w:val="262626"/>
        </w:rPr>
        <w:drawing>
          <wp:inline distB="114300" distT="114300" distL="114300" distR="114300">
            <wp:extent cx="5834063" cy="17182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8262" l="10797" r="4319" t="29648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1718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API Gateway y Backend For Frontend (BFF):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El API Gateway centraliza las solicitudes, brindando un punto único de entrada que mejora la seguridad y el control de tráfico. El BFF adapta la información específicamente para las necesidades de la interfaz en React, reduciendo llamadas innecesarias y mejorando el rendimiento.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Event-Driven Architecture (EDA):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Fundamental para procesos pesados como la generación de reportes PDF y notificaciones. Evita bloqueos en el sistema mediante comunicación asíncrona.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Repository Pattern: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Separa la lógica de negocio del acceso a la base de datos PostgreSQL, mejorando la mantenibilidad del código.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Factory Method: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Permite la creación flexible de objetos complejos, facilitando la futura extensión del sistema.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Circuit Breaker: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Previene fallos en cascada. Si el servicio de reportes cae, el Circuit Breaker asegura que el registro de asistencia siga funcionando con normalidad.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465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465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465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465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465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465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rFonts w:ascii="Arial" w:cs="Arial" w:eastAsia="Arial" w:hAnsi="Arial"/>
          <w:color w:val="1f1f1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f1f1f"/>
          <w:sz w:val="30"/>
          <w:szCs w:val="30"/>
          <w:rtl w:val="0"/>
        </w:rPr>
        <w:t xml:space="preserve">4. Comunicación entre microservicios</w:t>
      </w:r>
    </w:p>
    <w:p w:rsidR="00000000" w:rsidDel="00000000" w:rsidP="00000000" w:rsidRDefault="00000000" w:rsidRPr="00000000" w14:paraId="0000005E">
      <w:pPr>
        <w:spacing w:after="240" w:line="360" w:lineRule="auto"/>
        <w:rPr>
          <w:rFonts w:ascii="Arial" w:cs="Arial" w:eastAsia="Arial" w:hAnsi="Arial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</w:rPr>
        <w:drawing>
          <wp:inline distB="114300" distT="114300" distL="114300" distR="114300">
            <wp:extent cx="5943600" cy="361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La plataforma utiliza dos paradigmas de comunicación para asegurar la eficiencia técnica y operativa: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Comunicación Sincrónica (REST):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Utilizada para interacciones que requieren respuesta inmediata, tales como consultas de datos, proceso de matrícula, registro de asistencia y anotación de calificaciones.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Comunicación Asíncrona (Eventos con RabbitMQ):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Utilizada para tareas que consumen tiempo. Por ejemplo, cuando un usuario solicita un reporte mediante REST, el servicio de reportes publica un evento. El PDF se genera en segundo plano y posteriormente se notifica al usuario. Esto reduce la carga en los servicios principales y permite escalar procesos críticos de forma aislada.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465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465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rFonts w:ascii="Arial" w:cs="Arial" w:eastAsia="Arial" w:hAnsi="Arial"/>
          <w:color w:val="1f1f1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f1f1f"/>
          <w:sz w:val="30"/>
          <w:szCs w:val="30"/>
          <w:rtl w:val="0"/>
        </w:rPr>
        <w:t xml:space="preserve">5. Arquitectura de microservicios y contenedores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Para el MVP se han definido los siguientes microservicios independientes: Matrícula, Académico, Asistencia, Evaluaciones y Reportes. Cada uno de estos microservicios será desplegado en un contenedor Docker independiente, asegurando portabilidad y aislamiento.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La gestión de estos contenedores se realizará mediante Kubernetes. En el contexto de este MVP, Kubernetes aporta un valor fundamental simulando un entorno productivo real: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Escalabilidad automática: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Permite aumentar instancias de microservicios específicos según la demanda (ej. más recursos para "Evaluaciones" a fin de semestre).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Alta disponibilidad y balanceo: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Distribuye el tráfico y redistribuye servicios automáticamente en caso de fallos en los nodos.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Desde la perspectiva de la seguridad, la arquitectura centraliza el acceso en el API Gateway utilizando HTTPS y validación JWT. La privacidad se garantiza mediante el control de acceso por roles y la separación de datos por servicio. Finalmente, el diseño aporta a la sostenibilidad, ya que el escalado independiente optimiza el uso de recursos computacionales, evitando mantener servidores encendidos sin uso justificado.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rFonts w:ascii="Arial" w:cs="Arial" w:eastAsia="Arial" w:hAnsi="Arial"/>
          <w:color w:val="1f1f1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f1f1f"/>
          <w:sz w:val="30"/>
          <w:szCs w:val="30"/>
          <w:rtl w:val="0"/>
        </w:rPr>
        <w:t xml:space="preserve">6. Evaluación general del diseño (MVP)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La arquitectura propuesta permite cumplir con los requerimientos del sistema de manera eficiente. Sin embargo, al tratarse de un MVP, se han identificado ciertas consideraciones: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Debilidades y Riesgos: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Existe una alta complejidad inicial en la configuración de Kubernetes y RabbitMQ. La gestión de datos distribuida aumenta la dificultad de depuración (debugging) y presenta riesgos potenciales de consistencia de datos si ocurren problemas en la red interna del clúster.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Mejoras futuras: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Para iteraciones posteriores se recomienda implementar sistemas de caché (Redis) para consultas frecuentes, monitoreo de logs centralizados (Prometheus/Grafana) y mayor automatización en los pipelines de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ci/cd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mediante GitHub Actions.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En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conclusión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, la selección de herramientas responde a la necesidad de construir una arquitectura moderna. Tecnologías como Spring Boot y React permiten un desarrollo ágil, mientras que Docker, Kubernetes y RabbitMQ garantizan un sistema desacoplado y resiliente. El enfoque MVP asegura la entrega de un sistema funcional dentro de los plazos establecidos, preparado para escalar hacia un entorno productivo definitivo.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rFonts w:ascii="Arial" w:cs="Arial" w:eastAsia="Arial" w:hAnsi="Arial"/>
          <w:color w:val="1f1f1f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f1f1f"/>
          <w:sz w:val="30"/>
          <w:szCs w:val="30"/>
          <w:rtl w:val="0"/>
        </w:rPr>
        <w:t xml:space="preserve">7. Bibliografía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Fowler, M. (2018).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4"/>
          <w:szCs w:val="24"/>
          <w:rtl w:val="0"/>
        </w:rPr>
        <w:t xml:space="preserve">Microservices Patterns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 Manning Publications.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Newman, S. (2021).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4"/>
          <w:szCs w:val="24"/>
          <w:rtl w:val="0"/>
        </w:rPr>
        <w:t xml:space="preserve">Building Microservices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 O'Reilly Media.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Oracle. (2023).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4"/>
          <w:szCs w:val="24"/>
          <w:rtl w:val="0"/>
        </w:rPr>
        <w:t xml:space="preserve">Java Persistence API Documentation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React Documentation. (2024).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4"/>
          <w:szCs w:val="24"/>
          <w:rtl w:val="0"/>
        </w:rPr>
        <w:t xml:space="preserve">React.dev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Richardson, C. (2020).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4"/>
          <w:szCs w:val="24"/>
          <w:rtl w:val="0"/>
        </w:rPr>
        <w:t xml:space="preserve">Microservices Patterns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. Manning Publications.</w:t>
      </w:r>
    </w:p>
    <w:sectPr>
      <w:headerReference r:id="rId1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/>
      <w:drawing>
        <wp:inline distB="114300" distT="114300" distL="114300" distR="114300">
          <wp:extent cx="3127188" cy="766763"/>
          <wp:effectExtent b="0" l="0" r="0" t="0"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27188" cy="7667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