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43.png" ContentType="image/png"/>
  <Override PartName="/word/media/rId58.png" ContentType="image/png"/>
  <Override PartName="/word/media/rId40.png" ContentType="image/png"/>
  <Override PartName="/word/media/rId22.png" ContentType="image/png"/>
  <Override PartName="/word/media/rId13.png" ContentType="image/png"/>
  <Override PartName="/word/media/rId37.png" ContentType="image/png"/>
  <Override PartName="/word/media/rId55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Reporte: Prueba t independiente (dos grupos) — estratificado por PROP</w:t>
      </w:r>
    </w:p>
    <w:p>
      <w:pPr>
        <w:pStyle w:val="Subtitle"/>
      </w:pPr>
      <w:r>
        <w:t xml:space="preserve">Generado con la app CDO —</w:t>
      </w:r>
      <w:r>
        <w:t xml:space="preserve"> </w:t>
      </w:r>
      <w:r>
        <w:rPr>
          <w:i/>
          <w:iCs/>
        </w:rPr>
        <w:t xml:space="preserve">Ciencia de Datos en Odontología. Un enfoque pragmático con R</w:t>
      </w:r>
    </w:p>
    <w:p>
      <w:pPr>
        <w:pStyle w:val="Date"/>
      </w:pPr>
      <w:r>
        <w:t xml:space="preserve">23 de septiembre de 2026</w:t>
      </w:r>
    </w:p>
    <w:bookmarkStart w:id="9" w:name="contexto-del-estudio"/>
    <w:p>
      <w:pPr>
        <w:pStyle w:val="Heading1"/>
      </w:pPr>
      <w:r>
        <w:t xml:space="preserve">1. Contexto del estudio</w:t>
      </w:r>
    </w:p>
    <w:p>
      <w:pPr>
        <w:pStyle w:val="FirstParagraph"/>
      </w:pPr>
      <w:r>
        <w:rPr>
          <w:b/>
          <w:bCs/>
        </w:rPr>
        <w:t xml:space="preserve">Contexto del estudio (completar por el usuario):</w:t>
      </w:r>
      <w:r>
        <w:t xml:space="preserve"> </w:t>
      </w:r>
      <w:r>
        <w:t xml:space="preserve">[Describa aquí el objetivo del análisis, la población, el diseño, el origen de los datos y el significado de cada variable]. El texto de resultados que sigue fue prellenado automáticamente con los valores calculados; sustituya los corchetes por el contexto de sus datos y revise la interpretación clínica.</w:t>
      </w:r>
    </w:p>
    <w:p>
      <w:pPr>
        <w:pStyle w:val="BodyText"/>
      </w:pPr>
      <w:r>
        <w:rPr>
          <w:b/>
          <w:bCs/>
        </w:rPr>
        <w:t xml:space="preserve">Análisis:</w:t>
      </w:r>
      <w:r>
        <w:t xml:space="preserve"> </w:t>
      </w:r>
      <w:r>
        <w:t xml:space="preserve">Prueba t independiente (dos grupos) (familia: Comparación de medias; capítulo de referencia:</w:t>
      </w:r>
      <w:r>
        <w:t xml:space="preserve"> </w:t>
      </w:r>
      <w:r>
        <w:rPr>
          <w:i/>
          <w:iCs/>
        </w:rPr>
        <w:t xml:space="preserve">Prueba t independiente en R</w:t>
      </w:r>
      <w:r>
        <w:t xml:space="preserve">).</w:t>
      </w:r>
      <w:r>
        <w:t xml:space="preserve"> </w:t>
      </w:r>
      <w:r>
        <w:rPr>
          <w:b/>
          <w:bCs/>
        </w:rPr>
        <w:t xml:space="preserve">Datos:</w:t>
      </w:r>
      <w:r>
        <w:t xml:space="preserve"> </w:t>
      </w:r>
      <w:r>
        <w:t xml:space="preserve">dat24h.xlsx.</w:t>
      </w:r>
      <w:r>
        <w:t xml:space="preserve"> </w:t>
      </w:r>
      <w:r>
        <w:rPr>
          <w:b/>
          <w:bCs/>
        </w:rPr>
        <w:t xml:space="preserve">Variables:</w:t>
      </w:r>
      <w:r>
        <w:t xml:space="preserve"> </w:t>
      </w:r>
      <w:r>
        <w:t xml:space="preserve">response = VIAB; group = MAT.</w:t>
      </w:r>
      <w:r>
        <w:t xml:space="preserve"> </w:t>
      </w:r>
      <w:r>
        <w:rPr>
          <w:b/>
          <w:bCs/>
        </w:rPr>
        <w:t xml:space="preserve">Análisis estratificado por PROP:</w:t>
      </w:r>
      <w:r>
        <w:t xml:space="preserve"> </w:t>
      </w:r>
      <w:r>
        <w:t xml:space="preserve">4 subanálisis (uno por nivel), cada uno con su propia verificación de supuestos y decisión.</w:t>
      </w:r>
    </w:p>
    <w:bookmarkEnd w:id="9"/>
    <w:bookmarkStart w:id="18" w:name="prop-1a1-n-10"/>
    <w:p>
      <w:pPr>
        <w:pStyle w:val="Heading1"/>
      </w:pPr>
      <w:r>
        <w:t xml:space="preserve">2. PROP = 1a1 (n = 10)</w:t>
      </w:r>
    </w:p>
    <w:bookmarkStart w:id="10" w:name="estadística-descriptiva"/>
    <w:p>
      <w:pPr>
        <w:pStyle w:val="Heading2"/>
      </w:pPr>
      <w:r>
        <w:t xml:space="preserve">Estadística descriptiva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81"/>
        <w:gridCol w:w="1832"/>
        <w:gridCol w:w="1662"/>
        <w:gridCol w:w="1722"/>
      </w:tblGrid>
      <w:tr>
        <w:trPr>
          <w:trHeight w:val="713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(N=5)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(N=5)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(N=10)</w:t>
            </w:r>
          </w:p>
        </w:tc>
      </w:tr>
      <w:tr>
        <w:trPr>
          <w:trHeight w:val="540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VIAB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-2.62 (4.08)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52.5 (34.6)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24.9 (37.2)</w:t>
            </w:r>
          </w:p>
        </w:tc>
      </w:tr>
      <w:tr>
        <w:trPr>
          <w:trHeight w:val="57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-1.85 [-9.37, 1.07]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32.5 [27.4, 109]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14.2 [-9.37, 109]</w:t>
            </w:r>
          </w:p>
        </w:tc>
      </w:tr>
    </w:tbl>
    <w:bookmarkEnd w:id="10"/>
    <w:bookmarkStart w:id="11" w:name="verificación-de-supuestos-y-decisión"/>
    <w:p>
      <w:pPr>
        <w:pStyle w:val="Heading2"/>
      </w:pPr>
      <w:r>
        <w:t xml:space="preserve">Verificación de supuestos y decisión</w:t>
      </w:r>
    </w:p>
    <w:p>
      <w:pPr>
        <w:pStyle w:val="Compact"/>
        <w:numPr>
          <w:ilvl w:val="0"/>
          <w:numId w:val="1001"/>
        </w:numPr>
      </w:pPr>
      <w:r>
        <w:t xml:space="preserve">✘</w:t>
      </w:r>
      <w:r>
        <w:t xml:space="preserve"> </w:t>
      </w:r>
      <w:r>
        <w:rPr>
          <w:b/>
          <w:bCs/>
        </w:rPr>
        <w:t xml:space="preserve">Normalidad (VIAB)</w:t>
      </w:r>
      <w:r>
        <w:t xml:space="preserve"> </w:t>
      </w:r>
      <w:r>
        <w:t xml:space="preserve">— La prueba de Shapiro-Wilk sobre VIAB (W = 0.831, p = 0.034) indica una desviación significativa de la normalidad: el supuesto se considera violado.</w:t>
      </w:r>
    </w:p>
    <w:p>
      <w:pPr>
        <w:pStyle w:val="Compact"/>
        <w:numPr>
          <w:ilvl w:val="0"/>
          <w:numId w:val="1001"/>
        </w:numPr>
      </w:pPr>
      <w:r>
        <w:t xml:space="preserve">✔</w:t>
      </w:r>
      <w:r>
        <w:t xml:space="preserve"> </w:t>
      </w:r>
      <w:r>
        <w:rPr>
          <w:b/>
          <w:bCs/>
        </w:rPr>
        <w:t xml:space="preserve">Homogeneidad de varianzas</w:t>
      </w:r>
      <w:r>
        <w:t xml:space="preserve"> </w:t>
      </w:r>
      <w:r>
        <w:t xml:space="preserve">— La prueba de Levene (centro = mediana) para varianzas entre grupos (F(1, 8) = 1.906, p = 0.205) indica varianzas homogéneas: el supuesto se cumple.</w:t>
      </w:r>
    </w:p>
    <w:p>
      <w:pPr>
        <w:pStyle w:val="FirstParagraph"/>
      </w:pPr>
      <w:r>
        <w:rPr>
          <w:b/>
          <w:bCs/>
        </w:rPr>
        <w:t xml:space="preserve">Decisión:</w:t>
      </w:r>
      <w:r>
        <w:t xml:space="preserve"> </w:t>
      </w:r>
      <w:r>
        <w:t xml:space="preserve">Se viola: Normalidad (VIAB). Según el libro, se opta por la alternativa no paramétrica. Prueba aplicada:</w:t>
      </w:r>
      <w:r>
        <w:t xml:space="preserve"> </w:t>
      </w:r>
      <w:r>
        <w:rPr>
          <w:b/>
          <w:bCs/>
        </w:rPr>
        <w:t xml:space="preserve">Wilcoxon suma de rangos (Mann-Whitney)</w:t>
      </w:r>
      <w:r>
        <w:t xml:space="preserve">.</w:t>
      </w:r>
    </w:p>
    <w:bookmarkEnd w:id="11"/>
    <w:bookmarkStart w:id="12" w:name="Xc9a0a85e4c20b21da580afa1f9dda2d0b0ddd01"/>
    <w:p>
      <w:pPr>
        <w:pStyle w:val="Heading2"/>
      </w:pPr>
      <w:r>
        <w:t xml:space="preserve">Resultados — Wilcoxon suma de rangos (Mann-Whitney)</w:t>
      </w:r>
    </w:p>
    <w:p>
      <w:pPr>
        <w:pStyle w:val="FirstParagraph"/>
      </w:pPr>
      <w:r>
        <w:rPr>
          <w:i/>
          <w:iCs/>
        </w:rPr>
        <w:t xml:space="preserve">Aproximación normal con corrección de continuidad (exact = FALSE, correct = TRUE), como en el libro.</w:t>
      </w:r>
    </w:p>
    <w:p>
      <w:pPr>
        <w:pStyle w:val="BodyText"/>
      </w:pPr>
      <w:r>
        <w:rPr>
          <w:b/>
          <w:bCs/>
        </w:rPr>
        <w:t xml:space="preserve">Resultado de wilcox.test()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medianas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medias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-34.348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-55.124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Descriptiva por grupo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IQR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108.803</w:t>
            </w:r>
          </w:p>
        </w:tc>
      </w:tr>
    </w:tbl>
    <w:bookmarkEnd w:id="12"/>
    <w:bookmarkStart w:id="16" w:name="figuras"/>
    <w:p>
      <w:pPr>
        <w:pStyle w:val="Heading2"/>
      </w:pPr>
      <w:r>
        <w:t xml:space="preserve">Figuras</w:t>
      </w:r>
    </w:p>
    <w:p>
      <w:pPr>
        <w:pStyle w:val="FirstParagraph"/>
      </w:pPr>
      <w:r>
        <w:rPr>
          <w:b/>
          <w:bCs/>
        </w:rPr>
        <w:t xml:space="preserve">Figura 1.</w:t>
      </w:r>
      <w:r>
        <w:t xml:space="preserve"> </w:t>
      </w:r>
      <w:r>
        <w:t xml:space="preserve">Boxplot por grupo (mediana) — PROP = 1a1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C:\Escritorio 2026\CARPETAS\R book\CDO-app\report\Ejemplo_reporte_estratificado_files/6824bf6ff68f89e4a8e18a82447dba3e989b0bb7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17" w:name="cómo-reportar-el-resultado"/>
    <w:p>
      <w:pPr>
        <w:pStyle w:val="Heading2"/>
      </w:pPr>
      <w:r>
        <w:t xml:space="preserve">Cómo reportar el resultado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párrafo prellenado con los valores calculados, siguiendo los recuadros</w:t>
      </w:r>
      <w:r>
        <w:t xml:space="preserve"> </w:t>
      </w:r>
      <w:r>
        <w:t xml:space="preserve">“Cómo reportar”</w:t>
      </w:r>
      <w:r>
        <w:t xml:space="preserve"> </w:t>
      </w:r>
      <w:r>
        <w:t xml:space="preserve">del libro. Los textos entre corchetes</w:t>
      </w:r>
      <w:r>
        <w:t xml:space="preserve"> </w:t>
      </w:r>
      <w:r>
        <w:rPr>
          <w:b/>
          <w:bCs/>
        </w:rPr>
        <w:t xml:space="preserve">[ ]</w:t>
      </w:r>
      <w:r>
        <w:t xml:space="preserve"> </w:t>
      </w:r>
      <w:r>
        <w:t xml:space="preserve">son placeholders que el usuario debe sustituir por el contexto de sus datos.</w:t>
      </w:r>
    </w:p>
    <w:p>
      <w:pPr>
        <w:pStyle w:val="FirstParagraph"/>
      </w:pPr>
      <w:r>
        <w:t xml:space="preserve">La normalidad de los datos fue evaluada con la prueba de Shapiro-Wilk (W = 0.83, p = 0.034), lo que evidencia una distribución no normal. La homogeneidad de varianzas fue evaluada con la prueba de Levene (F = 1.906, p = 0.205). La [variable de respuesta] en [CR] (mediana = -1.85; media = -2.62 ± 4.08) y en [NP] (mediana = 32.50; media = 52.50 ± 34.59) presentó una diferencia (Δ de medias = -55.12; Δ de medianas = -34.35) que resultó estadísticamente significativa (Wilcoxon: W = 0.0, p = 0.012), con un tamaño de efecto grande (r = 0.79) [Wilcoxon, 1945; Field, 2012].</w:t>
      </w:r>
    </w:p>
    <w:bookmarkEnd w:id="17"/>
    <w:bookmarkEnd w:id="18"/>
    <w:bookmarkStart w:id="33" w:name="prop-1a2-n-10"/>
    <w:p>
      <w:pPr>
        <w:pStyle w:val="Heading1"/>
      </w:pPr>
      <w:r>
        <w:t xml:space="preserve">3. PROP = 1a2 (n = 10)</w:t>
      </w:r>
    </w:p>
    <w:bookmarkStart w:id="19" w:name="estadística-descriptiva-1"/>
    <w:p>
      <w:pPr>
        <w:pStyle w:val="Heading2"/>
      </w:pPr>
      <w:r>
        <w:t xml:space="preserve">Estadística descriptiva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81"/>
        <w:gridCol w:w="1662"/>
        <w:gridCol w:w="1662"/>
        <w:gridCol w:w="1662"/>
      </w:tblGrid>
      <w:tr>
        <w:trPr>
          <w:trHeight w:val="713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(N=5)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(N=5)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(N=10)</w:t>
            </w:r>
          </w:p>
        </w:tc>
      </w:tr>
      <w:tr>
        <w:trPr>
          <w:trHeight w:val="540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VIAB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84.4 (25.5)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60.1 (37.5)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72.2 (32.9)</w:t>
            </w:r>
          </w:p>
        </w:tc>
      </w:tr>
      <w:tr>
        <w:trPr>
          <w:trHeight w:val="57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81.3 [55.6, 112]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65.7 [5.73, 111]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65.7 [5.73, 112]</w:t>
            </w:r>
          </w:p>
        </w:tc>
      </w:tr>
    </w:tbl>
    <w:bookmarkEnd w:id="19"/>
    <w:bookmarkStart w:id="20" w:name="verificación-de-supuestos-y-decisión-1"/>
    <w:p>
      <w:pPr>
        <w:pStyle w:val="Heading2"/>
      </w:pPr>
      <w:r>
        <w:t xml:space="preserve">Verificación de supuestos y decisión</w:t>
      </w:r>
    </w:p>
    <w:p>
      <w:pPr>
        <w:pStyle w:val="Compact"/>
        <w:numPr>
          <w:ilvl w:val="0"/>
          <w:numId w:val="1002"/>
        </w:numPr>
      </w:pPr>
      <w:r>
        <w:t xml:space="preserve">✔</w:t>
      </w:r>
      <w:r>
        <w:t xml:space="preserve"> </w:t>
      </w:r>
      <w:r>
        <w:rPr>
          <w:b/>
          <w:bCs/>
        </w:rPr>
        <w:t xml:space="preserve">Normalidad (VIAB)</w:t>
      </w:r>
      <w:r>
        <w:t xml:space="preserve"> </w:t>
      </w:r>
      <w:r>
        <w:t xml:space="preserve">— La prueba de Shapiro-Wilk sobre VIAB (W = 0.900, p = 0.217) no muestra evidencia de una distribución diferente a la normal (lo cual no equivale a demostrarla).</w:t>
      </w:r>
    </w:p>
    <w:p>
      <w:pPr>
        <w:pStyle w:val="Compact"/>
        <w:numPr>
          <w:ilvl w:val="0"/>
          <w:numId w:val="1002"/>
        </w:numPr>
      </w:pPr>
      <w:r>
        <w:t xml:space="preserve">✔</w:t>
      </w:r>
      <w:r>
        <w:t xml:space="preserve"> </w:t>
      </w:r>
      <w:r>
        <w:rPr>
          <w:b/>
          <w:bCs/>
        </w:rPr>
        <w:t xml:space="preserve">Homogeneidad de varianzas</w:t>
      </w:r>
      <w:r>
        <w:t xml:space="preserve"> </w:t>
      </w:r>
      <w:r>
        <w:t xml:space="preserve">— La prueba de Levene (centro = mediana) para varianzas entre grupos (F(1, 8) = 0.062, p = 0.809) indica varianzas homogéneas: el supuesto se cumple.</w:t>
      </w:r>
    </w:p>
    <w:p>
      <w:pPr>
        <w:pStyle w:val="FirstParagraph"/>
      </w:pPr>
      <w:r>
        <w:rPr>
          <w:b/>
          <w:bCs/>
        </w:rPr>
        <w:t xml:space="preserve">Decisión:</w:t>
      </w:r>
      <w:r>
        <w:t xml:space="preserve"> </w:t>
      </w:r>
      <w:r>
        <w:t xml:space="preserve">Se cumplen los supuestos: se aplica la prueba paramétrica. Prueba aplicada:</w:t>
      </w:r>
      <w:r>
        <w:t xml:space="preserve"> </w:t>
      </w:r>
      <w:r>
        <w:rPr>
          <w:b/>
          <w:bCs/>
        </w:rPr>
        <w:t xml:space="preserve">Prueba t independiente (dos grupos)</w:t>
      </w:r>
      <w:r>
        <w:t xml:space="preserve">.</w:t>
      </w:r>
    </w:p>
    <w:bookmarkEnd w:id="20"/>
    <w:bookmarkStart w:id="21" w:name="X23bb2e70a0ce054b59b20adf79b8a83fdee0e12"/>
    <w:p>
      <w:pPr>
        <w:pStyle w:val="Heading2"/>
      </w:pPr>
      <w:r>
        <w:t xml:space="preserve">Resultados — Prueba t independiente (dos grupos)</w:t>
      </w:r>
    </w:p>
    <w:p>
      <w:pPr>
        <w:pStyle w:val="FirstParagraph"/>
      </w:pPr>
      <w:r>
        <w:rPr>
          <w:i/>
          <w:iCs/>
        </w:rPr>
        <w:t xml:space="preserve">Corrección de Welch (var.equal = FALSE), opción por defecto y más robusta según el libro.</w:t>
      </w:r>
    </w:p>
    <w:p>
      <w:pPr>
        <w:pStyle w:val="BodyText"/>
      </w:pPr>
      <w:r>
        <w:rPr>
          <w:b/>
          <w:bCs/>
        </w:rPr>
        <w:t xml:space="preserve">Resultado de t.test()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medias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95% inf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95% sup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-23.678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</w:tr>
    </w:tbl>
    <w:bookmarkEnd w:id="21"/>
    <w:bookmarkStart w:id="31" w:name="figuras-1"/>
    <w:p>
      <w:pPr>
        <w:pStyle w:val="Heading2"/>
      </w:pPr>
      <w:r>
        <w:t xml:space="preserve">Figuras</w:t>
      </w:r>
    </w:p>
    <w:p>
      <w:pPr>
        <w:pStyle w:val="FirstParagraph"/>
      </w:pPr>
      <w:r>
        <w:rPr>
          <w:b/>
          <w:bCs/>
        </w:rPr>
        <w:t xml:space="preserve">Figura 1.</w:t>
      </w:r>
      <w:r>
        <w:t xml:space="preserve"> </w:t>
      </w:r>
      <w:r>
        <w:t xml:space="preserve">Boxplot por grupo — PROP = 1a2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:\Escritorio 2026\CARPETAS\R book\CDO-app\report\Ejemplo_reporte_estratificado_files/4993021771c466e072ba35d38a88ff593ed43320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Figura 2.</w:t>
      </w:r>
      <w:r>
        <w:t xml:space="preserve"> </w:t>
      </w:r>
      <w:r>
        <w:t xml:space="preserve">Q-Q de la respuesta — PROP = 1a2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\Escritorio 2026\CARPETAS\R book\CDO-app\report\Ejemplo_reporte_estratificado_files/c22da1f5d0026c24cf35a33b8295efa484970a4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Figura 3.</w:t>
      </w:r>
      <w:r>
        <w:t xml:space="preserve"> </w:t>
      </w:r>
      <w:r>
        <w:t xml:space="preserve">Diferencia de medias (IC 95 %) — PROP = 1a2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\Escritorio 2026\CARPETAS\R book\CDO-app\report\Ejemplo_reporte_estratificado_files/df690f04ee5c04e800cee2d661c307b18f16033b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2" w:name="cómo-reportar-el-resultado-1"/>
    <w:p>
      <w:pPr>
        <w:pStyle w:val="Heading2"/>
      </w:pPr>
      <w:r>
        <w:t xml:space="preserve">Cómo reportar el resultado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párrafo prellenado con los valores calculados, siguiendo los recuadros</w:t>
      </w:r>
      <w:r>
        <w:t xml:space="preserve"> </w:t>
      </w:r>
      <w:r>
        <w:t xml:space="preserve">“Cómo reportar”</w:t>
      </w:r>
      <w:r>
        <w:t xml:space="preserve"> </w:t>
      </w:r>
      <w:r>
        <w:t xml:space="preserve">del libro. Los textos entre corchetes</w:t>
      </w:r>
      <w:r>
        <w:t xml:space="preserve"> </w:t>
      </w:r>
      <w:r>
        <w:rPr>
          <w:b/>
          <w:bCs/>
        </w:rPr>
        <w:t xml:space="preserve">[ ]</w:t>
      </w:r>
      <w:r>
        <w:t xml:space="preserve"> </w:t>
      </w:r>
      <w:r>
        <w:t xml:space="preserve">son placeholders que el usuario debe sustituir por el contexto de sus datos.</w:t>
      </w:r>
    </w:p>
    <w:p>
      <w:pPr>
        <w:pStyle w:val="FirstParagraph"/>
      </w:pPr>
      <w:r>
        <w:t xml:space="preserve">La normalidad se evaluó mediante la prueba de Shapiro-Wilk (W = 0.90, p = 0.217) y la evaluación gráfica (Q-Q plot), sin evidencia de distribución diferente a la normal. La homogeneidad de varianzas se evaluó con la prueba de Levene (F = 0.062, p = 0.809). La [variable de respuesta] entre [CR] (Media = 84.36, DE = 25.55) y [NP] (Media = 60.10, DE = 37.53) no mostró una diferencia estadísticamente significativa (t = 1.19, df = 7.1, p = 0.271), con una diferencia de medias de Δ = 24.26 (IC 95 %: -23.68, 72.20), que representa un tamaño de efecto mediano (r = 0.41) [Cohen, 1992].</w:t>
      </w:r>
    </w:p>
    <w:bookmarkEnd w:id="32"/>
    <w:bookmarkEnd w:id="33"/>
    <w:bookmarkStart w:id="48" w:name="prop-1a4-n-10"/>
    <w:p>
      <w:pPr>
        <w:pStyle w:val="Heading1"/>
      </w:pPr>
      <w:r>
        <w:t xml:space="preserve">4. PROP = 1a4 (n = 10)</w:t>
      </w:r>
    </w:p>
    <w:bookmarkStart w:id="34" w:name="estadística-descriptiva-2"/>
    <w:p>
      <w:pPr>
        <w:pStyle w:val="Heading2"/>
      </w:pPr>
      <w:r>
        <w:t xml:space="preserve">Estadística descriptiva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81"/>
        <w:gridCol w:w="1712"/>
        <w:gridCol w:w="1712"/>
        <w:gridCol w:w="1712"/>
      </w:tblGrid>
      <w:tr>
        <w:trPr>
          <w:trHeight w:val="713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(N=5)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(N=5)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(N=10)</w:t>
            </w:r>
          </w:p>
        </w:tc>
      </w:tr>
      <w:tr>
        <w:trPr>
          <w:trHeight w:val="540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VIAB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48.9 (11.4)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50.7 (6.14)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49.8 (8.67)</w:t>
            </w:r>
          </w:p>
        </w:tc>
      </w:tr>
      <w:tr>
        <w:trPr>
          <w:trHeight w:val="57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49.0 [35.6, 66.3]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50.6 [42.7, 59.6]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49.7 [35.6, 66.3]</w:t>
            </w:r>
          </w:p>
        </w:tc>
      </w:tr>
    </w:tbl>
    <w:bookmarkEnd w:id="34"/>
    <w:bookmarkStart w:id="35" w:name="verificación-de-supuestos-y-decisión-2"/>
    <w:p>
      <w:pPr>
        <w:pStyle w:val="Heading2"/>
      </w:pPr>
      <w:r>
        <w:t xml:space="preserve">Verificación de supuestos y decisión</w:t>
      </w:r>
    </w:p>
    <w:p>
      <w:pPr>
        <w:pStyle w:val="Compact"/>
        <w:numPr>
          <w:ilvl w:val="0"/>
          <w:numId w:val="1003"/>
        </w:numPr>
      </w:pPr>
      <w:r>
        <w:t xml:space="preserve">✔</w:t>
      </w:r>
      <w:r>
        <w:t xml:space="preserve"> </w:t>
      </w:r>
      <w:r>
        <w:rPr>
          <w:b/>
          <w:bCs/>
        </w:rPr>
        <w:t xml:space="preserve">Normalidad (VIAB)</w:t>
      </w:r>
      <w:r>
        <w:t xml:space="preserve"> </w:t>
      </w:r>
      <w:r>
        <w:t xml:space="preserve">— La prueba de Shapiro-Wilk sobre VIAB (W = 0.959, p = 0.770) no muestra evidencia de una distribución diferente a la normal (lo cual no equivale a demostrarla).</w:t>
      </w:r>
    </w:p>
    <w:p>
      <w:pPr>
        <w:pStyle w:val="Compact"/>
        <w:numPr>
          <w:ilvl w:val="0"/>
          <w:numId w:val="1003"/>
        </w:numPr>
      </w:pPr>
      <w:r>
        <w:t xml:space="preserve">✔</w:t>
      </w:r>
      <w:r>
        <w:t xml:space="preserve"> </w:t>
      </w:r>
      <w:r>
        <w:rPr>
          <w:b/>
          <w:bCs/>
        </w:rPr>
        <w:t xml:space="preserve">Homogeneidad de varianzas</w:t>
      </w:r>
      <w:r>
        <w:t xml:space="preserve"> </w:t>
      </w:r>
      <w:r>
        <w:t xml:space="preserve">— La prueba de Levene (centro = mediana) para varianzas entre grupos (F(1, 8) = 0.846, p = 0.385) indica varianzas homogéneas: el supuesto se cumple.</w:t>
      </w:r>
    </w:p>
    <w:p>
      <w:pPr>
        <w:pStyle w:val="FirstParagraph"/>
      </w:pPr>
      <w:r>
        <w:rPr>
          <w:b/>
          <w:bCs/>
        </w:rPr>
        <w:t xml:space="preserve">Decisión:</w:t>
      </w:r>
      <w:r>
        <w:t xml:space="preserve"> </w:t>
      </w:r>
      <w:r>
        <w:t xml:space="preserve">Se cumplen los supuestos: se aplica la prueba paramétrica. Prueba aplicada:</w:t>
      </w:r>
      <w:r>
        <w:t xml:space="preserve"> </w:t>
      </w:r>
      <w:r>
        <w:rPr>
          <w:b/>
          <w:bCs/>
        </w:rPr>
        <w:t xml:space="preserve">Prueba t independiente (dos grupos)</w:t>
      </w:r>
      <w:r>
        <w:t xml:space="preserve">.</w:t>
      </w:r>
    </w:p>
    <w:bookmarkEnd w:id="35"/>
    <w:bookmarkStart w:id="36" w:name="X0f6221495f458d836b9e9bd5ddea27d53dc47e9"/>
    <w:p>
      <w:pPr>
        <w:pStyle w:val="Heading2"/>
      </w:pPr>
      <w:r>
        <w:t xml:space="preserve">Resultados — Prueba t independiente (dos grupos)</w:t>
      </w:r>
    </w:p>
    <w:p>
      <w:pPr>
        <w:pStyle w:val="FirstParagraph"/>
      </w:pPr>
      <w:r>
        <w:rPr>
          <w:i/>
          <w:iCs/>
        </w:rPr>
        <w:t xml:space="preserve">Corrección de Welch (var.equal = FALSE), opción por defecto y más robusta según el libro.</w:t>
      </w:r>
    </w:p>
    <w:p>
      <w:pPr>
        <w:pStyle w:val="BodyText"/>
      </w:pPr>
      <w:r>
        <w:rPr>
          <w:b/>
          <w:bCs/>
        </w:rPr>
        <w:t xml:space="preserve">Resultado de t.test()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medias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95% inf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95% sup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-0.315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</w:t>
            </w:r>
          </w:p>
        </w:tc>
      </w:tr>
    </w:tbl>
    <w:bookmarkEnd w:id="36"/>
    <w:bookmarkStart w:id="46" w:name="figuras-2"/>
    <w:p>
      <w:pPr>
        <w:pStyle w:val="Heading2"/>
      </w:pPr>
      <w:r>
        <w:t xml:space="preserve">Figuras</w:t>
      </w:r>
    </w:p>
    <w:p>
      <w:pPr>
        <w:pStyle w:val="FirstParagraph"/>
      </w:pPr>
      <w:r>
        <w:rPr>
          <w:b/>
          <w:bCs/>
        </w:rPr>
        <w:t xml:space="preserve">Figura 1.</w:t>
      </w:r>
      <w:r>
        <w:t xml:space="preserve"> </w:t>
      </w:r>
      <w:r>
        <w:t xml:space="preserve">Boxplot por grupo — PROP = 1a4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C:\Escritorio 2026\CARPETAS\R book\CDO-app\report\Ejemplo_reporte_estratificado_files/6b3d4ac8d52ed89ac1e8c7262236a8b06b9cfb8d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Figura 2.</w:t>
      </w:r>
      <w:r>
        <w:t xml:space="preserve"> </w:t>
      </w:r>
      <w:r>
        <w:t xml:space="preserve">Q-Q de la respuesta — PROP = 1a4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:\Escritorio 2026\CARPETAS\R book\CDO-app\report\Ejemplo_reporte_estratificado_files/3ad0b89068badb2926fcb4a746f0e2a64d7e55d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Figura 3.</w:t>
      </w:r>
      <w:r>
        <w:t xml:space="preserve"> </w:t>
      </w:r>
      <w:r>
        <w:t xml:space="preserve">Diferencia de medias (IC 95 %) — PROP = 1a4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C:\Escritorio 2026\CARPETAS\R book\CDO-app\report\Ejemplo_reporte_estratificado_files/038c2339d1adecf3f84c4bfc75818dcb8ee63ddf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47" w:name="cómo-reportar-el-resultado-2"/>
    <w:p>
      <w:pPr>
        <w:pStyle w:val="Heading2"/>
      </w:pPr>
      <w:r>
        <w:t xml:space="preserve">Cómo reportar el resultado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párrafo prellenado con los valores calculados, siguiendo los recuadros</w:t>
      </w:r>
      <w:r>
        <w:t xml:space="preserve"> </w:t>
      </w:r>
      <w:r>
        <w:t xml:space="preserve">“Cómo reportar”</w:t>
      </w:r>
      <w:r>
        <w:t xml:space="preserve"> </w:t>
      </w:r>
      <w:r>
        <w:t xml:space="preserve">del libro. Los textos entre corchetes</w:t>
      </w:r>
      <w:r>
        <w:t xml:space="preserve"> </w:t>
      </w:r>
      <w:r>
        <w:rPr>
          <w:b/>
          <w:bCs/>
        </w:rPr>
        <w:t xml:space="preserve">[ ]</w:t>
      </w:r>
      <w:r>
        <w:t xml:space="preserve"> </w:t>
      </w:r>
      <w:r>
        <w:t xml:space="preserve">son placeholders que el usuario debe sustituir por el contexto de sus datos.</w:t>
      </w:r>
    </w:p>
    <w:p>
      <w:pPr>
        <w:pStyle w:val="FirstParagraph"/>
      </w:pPr>
      <w:r>
        <w:t xml:space="preserve">La normalidad se evaluó mediante la prueba de Shapiro-Wilk (W = 0.96, p = 0.770) y la evaluación gráfica (Q-Q plot), sin evidencia de distribución diferente a la normal. La homogeneidad de varianzas se evaluó con la prueba de Levene (F = 0.846, p = 0.385). La [variable de respuesta] entre [CR] (Media = 48.87, DE = 11.36) y [NP] (Media = 50.70, DE = 6.14) no mostró una diferencia estadísticamente significativa (t = -0.32, df = 6.2, p = 0.763), con una diferencia de medias de Δ = -1.82 (IC 95 %: -15.87, 12.23), que representa un tamaño de efecto pequeño (r = 0.13) [Cohen, 1992].</w:t>
      </w:r>
    </w:p>
    <w:bookmarkEnd w:id="47"/>
    <w:bookmarkEnd w:id="48"/>
    <w:bookmarkStart w:id="63" w:name="prop-1a8-n-10"/>
    <w:p>
      <w:pPr>
        <w:pStyle w:val="Heading1"/>
      </w:pPr>
      <w:r>
        <w:t xml:space="preserve">5. PROP = 1a8 (n = 10)</w:t>
      </w:r>
    </w:p>
    <w:bookmarkStart w:id="49" w:name="estadística-descriptiva-3"/>
    <w:p>
      <w:pPr>
        <w:pStyle w:val="Heading2"/>
      </w:pPr>
      <w:r>
        <w:t xml:space="preserve">Estadística descriptiva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81"/>
        <w:gridCol w:w="1662"/>
        <w:gridCol w:w="1662"/>
        <w:gridCol w:w="1662"/>
      </w:tblGrid>
      <w:tr>
        <w:trPr>
          <w:trHeight w:val="713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(N=5)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(N=5)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(N=10)</w:t>
            </w:r>
          </w:p>
        </w:tc>
      </w:tr>
      <w:tr>
        <w:trPr>
          <w:trHeight w:val="540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VIAB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73.8 (36.7)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56.5 (38.7)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65.2 (36.7)</w:t>
            </w:r>
          </w:p>
        </w:tc>
      </w:tr>
      <w:tr>
        <w:trPr>
          <w:trHeight w:val="57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71.2 [35.7, 133]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62.2 [7.04, 100]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66.7 [7.04, 133]</w:t>
            </w:r>
          </w:p>
        </w:tc>
      </w:tr>
    </w:tbl>
    <w:bookmarkEnd w:id="49"/>
    <w:bookmarkStart w:id="50" w:name="verificación-de-supuestos-y-decisión-3"/>
    <w:p>
      <w:pPr>
        <w:pStyle w:val="Heading2"/>
      </w:pPr>
      <w:r>
        <w:t xml:space="preserve">Verificación de supuestos y decisión</w:t>
      </w:r>
    </w:p>
    <w:p>
      <w:pPr>
        <w:pStyle w:val="Compact"/>
        <w:numPr>
          <w:ilvl w:val="0"/>
          <w:numId w:val="1004"/>
        </w:numPr>
      </w:pPr>
      <w:r>
        <w:t xml:space="preserve">✔</w:t>
      </w:r>
      <w:r>
        <w:t xml:space="preserve"> </w:t>
      </w:r>
      <w:r>
        <w:rPr>
          <w:b/>
          <w:bCs/>
        </w:rPr>
        <w:t xml:space="preserve">Normalidad (VIAB)</w:t>
      </w:r>
      <w:r>
        <w:t xml:space="preserve"> </w:t>
      </w:r>
      <w:r>
        <w:t xml:space="preserve">— La prueba de Shapiro-Wilk sobre VIAB (W = 0.989, p = 0.996) no muestra evidencia de una distribución diferente a la normal (lo cual no equivale a demostrarla).</w:t>
      </w:r>
    </w:p>
    <w:p>
      <w:pPr>
        <w:pStyle w:val="Compact"/>
        <w:numPr>
          <w:ilvl w:val="0"/>
          <w:numId w:val="1004"/>
        </w:numPr>
      </w:pPr>
      <w:r>
        <w:t xml:space="preserve">✔</w:t>
      </w:r>
      <w:r>
        <w:t xml:space="preserve"> </w:t>
      </w:r>
      <w:r>
        <w:rPr>
          <w:b/>
          <w:bCs/>
        </w:rPr>
        <w:t xml:space="preserve">Homogeneidad de varianzas</w:t>
      </w:r>
      <w:r>
        <w:t xml:space="preserve"> </w:t>
      </w:r>
      <w:r>
        <w:t xml:space="preserve">— La prueba de Levene (centro = mediana) para varianzas entre grupos (F(1, 8) = 0.194, p = 0.671) indica varianzas homogéneas: el supuesto se cumple.</w:t>
      </w:r>
    </w:p>
    <w:p>
      <w:pPr>
        <w:pStyle w:val="FirstParagraph"/>
      </w:pPr>
      <w:r>
        <w:rPr>
          <w:b/>
          <w:bCs/>
        </w:rPr>
        <w:t xml:space="preserve">Decisión:</w:t>
      </w:r>
      <w:r>
        <w:t xml:space="preserve"> </w:t>
      </w:r>
      <w:r>
        <w:t xml:space="preserve">Se cumplen los supuestos: se aplica la prueba paramétrica. Prueba aplicada:</w:t>
      </w:r>
      <w:r>
        <w:t xml:space="preserve"> </w:t>
      </w:r>
      <w:r>
        <w:rPr>
          <w:b/>
          <w:bCs/>
        </w:rPr>
        <w:t xml:space="preserve">Prueba t independiente (dos grupos)</w:t>
      </w:r>
      <w:r>
        <w:t xml:space="preserve">.</w:t>
      </w:r>
    </w:p>
    <w:bookmarkEnd w:id="50"/>
    <w:bookmarkStart w:id="51" w:name="X4c16eb63e1812e3caa816a5bcc1c73473f0678f"/>
    <w:p>
      <w:pPr>
        <w:pStyle w:val="Heading2"/>
      </w:pPr>
      <w:r>
        <w:t xml:space="preserve">Resultados — Prueba t independiente (dos grupos)</w:t>
      </w:r>
    </w:p>
    <w:p>
      <w:pPr>
        <w:pStyle w:val="FirstParagraph"/>
      </w:pPr>
      <w:r>
        <w:rPr>
          <w:i/>
          <w:iCs/>
        </w:rPr>
        <w:t xml:space="preserve">Corrección de Welch (var.equal = FALSE), opción por defecto y más robusta según el libro.</w:t>
      </w:r>
    </w:p>
    <w:p>
      <w:pPr>
        <w:pStyle w:val="BodyText"/>
      </w:pPr>
      <w:r>
        <w:rPr>
          <w:b/>
          <w:bCs/>
        </w:rPr>
        <w:t xml:space="preserve">Resultado de t.test()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medias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95% inf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95% sup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-37.704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</w:t>
            </w:r>
          </w:p>
        </w:tc>
      </w:tr>
    </w:tbl>
    <w:bookmarkEnd w:id="51"/>
    <w:bookmarkStart w:id="61" w:name="figuras-3"/>
    <w:p>
      <w:pPr>
        <w:pStyle w:val="Heading2"/>
      </w:pPr>
      <w:r>
        <w:t xml:space="preserve">Figuras</w:t>
      </w:r>
    </w:p>
    <w:p>
      <w:pPr>
        <w:pStyle w:val="FirstParagraph"/>
      </w:pPr>
      <w:r>
        <w:rPr>
          <w:b/>
          <w:bCs/>
        </w:rPr>
        <w:t xml:space="preserve">Figura 1.</w:t>
      </w:r>
      <w:r>
        <w:t xml:space="preserve"> </w:t>
      </w:r>
      <w:r>
        <w:t xml:space="preserve">Boxplot por grupo — PROP = 1a8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C:\Escritorio 2026\CARPETAS\R book\CDO-app\report\Ejemplo_reporte_estratificado_files/02d1d70cbe188aef8c5f08166b1987117121feac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Figura 2.</w:t>
      </w:r>
      <w:r>
        <w:t xml:space="preserve"> </w:t>
      </w:r>
      <w:r>
        <w:t xml:space="preserve">Q-Q de la respuesta — PROP = 1a8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C:\Escritorio 2026\CARPETAS\R book\CDO-app\report\Ejemplo_reporte_estratificado_files/6e0598bbd3e6018e4ea036795cae3b43fc797d5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Figura 3.</w:t>
      </w:r>
      <w:r>
        <w:t xml:space="preserve"> </w:t>
      </w:r>
      <w:r>
        <w:t xml:space="preserve">Diferencia de medias (IC 95 %) — PROP = 1a8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C:\Escritorio 2026\CARPETAS\R book\CDO-app\report\Ejemplo_reporte_estratificado_files/157904a53c604f87367086289a97edd92f2b5c6c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2" w:name="cómo-reportar-el-resultado-3"/>
    <w:p>
      <w:pPr>
        <w:pStyle w:val="Heading2"/>
      </w:pPr>
      <w:r>
        <w:t xml:space="preserve">Cómo reportar el resultado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párrafo prellenado con los valores calculados, siguiendo los recuadros</w:t>
      </w:r>
      <w:r>
        <w:t xml:space="preserve"> </w:t>
      </w:r>
      <w:r>
        <w:t xml:space="preserve">“Cómo reportar”</w:t>
      </w:r>
      <w:r>
        <w:t xml:space="preserve"> </w:t>
      </w:r>
      <w:r>
        <w:t xml:space="preserve">del libro. Los textos entre corchetes</w:t>
      </w:r>
      <w:r>
        <w:t xml:space="preserve"> </w:t>
      </w:r>
      <w:r>
        <w:rPr>
          <w:b/>
          <w:bCs/>
        </w:rPr>
        <w:t xml:space="preserve">[ ]</w:t>
      </w:r>
      <w:r>
        <w:t xml:space="preserve"> </w:t>
      </w:r>
      <w:r>
        <w:t xml:space="preserve">son placeholders que el usuario debe sustituir por el contexto de sus datos.</w:t>
      </w:r>
    </w:p>
    <w:p>
      <w:pPr>
        <w:pStyle w:val="FirstParagraph"/>
      </w:pPr>
      <w:r>
        <w:t xml:space="preserve">La normalidad se evaluó mediante la prueba de Shapiro-Wilk (W = 0.99, p = 0.996) y la evaluación gráfica (Q-Q plot), sin evidencia de distribución diferente a la normal. La homogeneidad de varianzas se evaluó con la prueba de Levene (F = 0.194, p = 0.671). La [variable de respuesta] entre [CR] (Media = 73.82, DE = 36.67) y [NP] (Media = 56.50, DE = 38.72) no mostró una diferencia estadísticamente significativa (t = 0.73, df = 8.0, p = 0.488), con una diferencia de medias de Δ = 17.32 (IC 95 %: -37.70, 72.34), que representa un tamaño de efecto pequeño (r = 0.25) [Cohen, 1992].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Reporte generado automáticamente. Las decisiones metodológicas siguen las reglas descritas en el libro; la interpretación clínica es responsabilidad del usuario.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43" Target="media/rId43.png" /><Relationship Type="http://schemas.openxmlformats.org/officeDocument/2006/relationships/image" Id="rId58" Target="media/rId58.png" /><Relationship Type="http://schemas.openxmlformats.org/officeDocument/2006/relationships/image" Id="rId40" Target="media/rId40.png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37" Target="media/rId37.png" /><Relationship Type="http://schemas.openxmlformats.org/officeDocument/2006/relationships/image" Id="rId55" Target="media/rId55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Reporte: Prueba t independiente (dos grupos) — estratificado por PROP</dc:title>
  <dc:creator/>
  <cp:keywords/>
  <dcterms:created xsi:type="dcterms:W3CDTF">2026-09-23T17:26:41Z</dcterms:created>
  <dcterms:modified xsi:type="dcterms:W3CDTF">2026-09-23T17:26:41Z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 de septiembre de 2026</vt:lpwstr>
  </property>
  <property fmtid="{D5CDD505-2E9C-101B-9397-08002B2CF9AE}" pid="3" name="output">
    <vt:lpwstr/>
  </property>
  <property fmtid="{D5CDD505-2E9C-101B-9397-08002B2CF9AE}" pid="4" name="params">
    <vt:lpwstr/>
  </property>
  <property fmtid="{D5CDD505-2E9C-101B-9397-08002B2CF9AE}" pid="5" name="subtitle">
    <vt:lpwstr>Generado con la app CDO — Ciencia de Datos en Odontología. Un enfoque pragmático con R</vt:lpwstr>
  </property>
</Properties>
</file>