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Reporte: Wilcoxon rangos con signo</w:t>
      </w:r>
    </w:p>
    <w:p>
      <w:pPr>
        <w:pStyle w:val="Subtitle"/>
      </w:pPr>
      <w:r>
        <w:t xml:space="preserve">Generado con la app CDO —</w:t>
      </w:r>
      <w:r>
        <w:t xml:space="preserve"> </w:t>
      </w:r>
      <w:r>
        <w:rPr>
          <w:i/>
          <w:iCs/>
        </w:rPr>
        <w:t xml:space="preserve">Ciencia de Datos en Odontología. Un enfoque pragmático con R</w:t>
      </w:r>
    </w:p>
    <w:p>
      <w:pPr>
        <w:pStyle w:val="Date"/>
      </w:pPr>
      <w:r>
        <w:t xml:space="preserve">22 de septiembre de 2026</w:t>
      </w:r>
    </w:p>
    <w:bookmarkStart w:id="10" w:name="contexto-del-estudio"/>
    <w:p>
      <w:pPr>
        <w:pStyle w:val="Heading1"/>
      </w:pPr>
      <w:r>
        <w:t xml:space="preserve">1. Contexto del estudio</w:t>
      </w:r>
    </w:p>
    <w:p>
      <w:pPr>
        <w:pStyle w:val="FirstParagraph"/>
      </w:pPr>
      <w:r>
        <w:rPr>
          <w:b/>
          <w:bCs/>
        </w:rPr>
        <w:t xml:space="preserve">Contexto del estudio (completar por el usuario):</w:t>
      </w:r>
      <w:r>
        <w:t xml:space="preserve"> </w:t>
      </w:r>
      <w:r>
        <w:t xml:space="preserve">[Describa aquí el objetivo del análisis, la población, el diseño, el origen de los datos y el significado de cada variable]. El texto de resultados que sigue fue prellenado automáticamente con los valores calculados; sustituya los corchetes por el contexto de sus datos y revise la interpretación clínica.</w:t>
      </w:r>
    </w:p>
    <w:p>
      <w:pPr>
        <w:pStyle w:val="BodyText"/>
      </w:pPr>
      <w:r>
        <w:rPr>
          <w:b/>
          <w:bCs/>
        </w:rPr>
        <w:t xml:space="preserve">Análisis:</w:t>
      </w:r>
      <w:r>
        <w:t xml:space="preserve"> </w:t>
      </w:r>
      <w:r>
        <w:t xml:space="preserve">Wilcoxon de rangos con signo (apareado) (familia: Comparación de medias; capítulo de referencia:</w:t>
      </w:r>
      <w:r>
        <w:t xml:space="preserve"> </w:t>
      </w:r>
      <w:r>
        <w:rPr>
          <w:i/>
          <w:iCs/>
        </w:rPr>
        <w:t xml:space="preserve">Wilcoxon rangos con signo en R</w:t>
      </w:r>
      <w:r>
        <w:t xml:space="preserve">).</w:t>
      </w:r>
      <w:r>
        <w:t xml:space="preserve"> </w:t>
      </w:r>
      <w:r>
        <w:rPr>
          <w:b/>
          <w:bCs/>
        </w:rPr>
        <w:t xml:space="preserve">Datos:</w:t>
      </w:r>
      <w:r>
        <w:t xml:space="preserve"> </w:t>
      </w:r>
      <w:r>
        <w:t xml:space="preserve">DXKTw.txt.</w:t>
      </w:r>
      <w:r>
        <w:t xml:space="preserve"> </w:t>
      </w:r>
      <w:r>
        <w:rPr>
          <w:b/>
          <w:bCs/>
        </w:rPr>
        <w:t xml:space="preserve">Variables:</w:t>
      </w:r>
      <w:r>
        <w:t xml:space="preserve"> </w:t>
      </w:r>
      <w:r>
        <w:t xml:space="preserve">measures = X0, X2; subject = Px.</w:t>
      </w:r>
    </w:p>
    <w:bookmarkStart w:id="9" w:name="preprocesamiento-de-los-datos"/>
    <w:p>
      <w:pPr>
        <w:pStyle w:val="Heading2"/>
      </w:pPr>
      <w:r>
        <w:t xml:space="preserve">Preprocesamiento de los datos</w:t>
      </w:r>
    </w:p>
    <w:p>
      <w:pPr>
        <w:pStyle w:val="FirstParagraph"/>
      </w:pPr>
      <w:r>
        <w:t xml:space="preserve">Datos originales: 22 variables × 30 observaciones; tras el preprocesamiento: 20 variables × 23 observaciones. Operaciones aplicadas, en orden:</w:t>
      </w:r>
    </w:p>
    <w:p>
      <w:pPr>
        <w:pStyle w:val="Compact"/>
        <w:numPr>
          <w:ilvl w:val="0"/>
          <w:numId w:val="1001"/>
        </w:numPr>
      </w:pPr>
      <w:r>
        <w:t xml:space="preserve">Filtro (expresión): Ed &gt; 20</w:t>
      </w:r>
    </w:p>
    <w:p>
      <w:pPr>
        <w:pStyle w:val="Compact"/>
        <w:numPr>
          <w:ilvl w:val="0"/>
          <w:numId w:val="1001"/>
        </w:numPr>
      </w:pPr>
      <w:r>
        <w:t xml:space="preserve">Removidas: Tot8, Tremed</w:t>
      </w:r>
    </w:p>
    <w:bookmarkEnd w:id="9"/>
    <w:bookmarkEnd w:id="10"/>
    <w:bookmarkStart w:id="11" w:name="estadística-descriptiva"/>
    <w:p>
      <w:pPr>
        <w:pStyle w:val="Heading1"/>
      </w:pPr>
      <w:r>
        <w:t xml:space="preserve">2. Estadística descriptiva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81"/>
        <w:gridCol w:w="1461"/>
        <w:gridCol w:w="1461"/>
        <w:gridCol w:w="1461"/>
      </w:tblGrid>
      <w:tr>
        <w:trPr>
          <w:trHeight w:val="713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X0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(N=23)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X2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(N=23)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(N=46)</w:t>
            </w:r>
          </w:p>
        </w:tc>
      </w:tr>
      <w:tr>
        <w:trPr>
          <w:trHeight w:val="575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Response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 (13.2)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 (12.1)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 (12.5)</w:t>
            </w:r>
          </w:p>
        </w:tc>
      </w:tr>
      <w:tr>
        <w:trPr>
          <w:trHeight w:val="57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10.0 [0, 40.0]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10.0 [0, 40.0]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10.0 [0, 40.0]</w:t>
            </w:r>
          </w:p>
        </w:tc>
      </w:tr>
    </w:tbl>
    <w:bookmarkEnd w:id="11"/>
    <w:bookmarkStart w:id="12" w:name="verificación-de-supuestos"/>
    <w:p>
      <w:pPr>
        <w:pStyle w:val="Heading1"/>
      </w:pPr>
      <w:r>
        <w:t xml:space="preserve">3. Verificación de supuestos</w:t>
      </w:r>
    </w:p>
    <w:p>
      <w:pPr>
        <w:pStyle w:val="Compact"/>
        <w:numPr>
          <w:ilvl w:val="0"/>
          <w:numId w:val="1002"/>
        </w:numPr>
      </w:pPr>
      <w:r>
        <w:t xml:space="preserve">✘</w:t>
      </w:r>
      <w:r>
        <w:t xml:space="preserve"> </w:t>
      </w:r>
      <w:r>
        <w:rPr>
          <w:b/>
          <w:bCs/>
        </w:rPr>
        <w:t xml:space="preserve">Normalidad (las diferencias intra-sujeto)</w:t>
      </w:r>
      <w:r>
        <w:t xml:space="preserve"> </w:t>
      </w:r>
      <w:r>
        <w:t xml:space="preserve">— La prueba de Shapiro-Wilk sobre las diferencias intra-sujeto (W = 0.899, p = 0.024) indica una desviación significativa de la normalidad: el supuesto se considera violado.</w:t>
      </w:r>
    </w:p>
    <w:p>
      <w:pPr>
        <w:pStyle w:val="FirstParagraph"/>
      </w:pPr>
      <w:r>
        <w:rPr>
          <w:b/>
          <w:bCs/>
        </w:rPr>
        <w:t xml:space="preserve">Decisión:</w:t>
      </w:r>
      <w:r>
        <w:t xml:space="preserve"> </w:t>
      </w:r>
      <w:r>
        <w:t xml:space="preserve">Prueba no paramétrica.</w:t>
      </w:r>
    </w:p>
    <w:bookmarkEnd w:id="12"/>
    <w:bookmarkStart w:id="13" w:name="resultados-del-análisis"/>
    <w:p>
      <w:pPr>
        <w:pStyle w:val="Heading1"/>
      </w:pPr>
      <w:r>
        <w:t xml:space="preserve">4. Resultados del análisis</w:t>
      </w:r>
    </w:p>
    <w:p>
      <w:pPr>
        <w:pStyle w:val="FirstParagraph"/>
      </w:pPr>
      <w:r>
        <w:rPr>
          <w:i/>
          <w:iCs/>
        </w:rPr>
        <w:t xml:space="preserve">Aproximación normal con corrección de continuidad (exact = FALSE, correct = TRUE).</w:t>
      </w:r>
    </w:p>
    <w:p>
      <w:pPr>
        <w:pStyle w:val="BodyText"/>
      </w:pPr>
      <w:r>
        <w:rPr>
          <w:b/>
          <w:bCs/>
        </w:rPr>
        <w:t xml:space="preserve">Resultado de wilcox.test(paired = TRUE)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medianas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medias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-0.043</w:t>
            </w:r>
          </w:p>
        </w:tc>
      </w:tr>
    </w:tbl>
    <w:bookmarkEnd w:id="13"/>
    <w:bookmarkStart w:id="17" w:name="figuras"/>
    <w:p>
      <w:pPr>
        <w:pStyle w:val="Heading1"/>
      </w:pPr>
      <w:r>
        <w:t xml:space="preserve">6. Figuras</w:t>
      </w:r>
    </w:p>
    <w:p>
      <w:pPr>
        <w:pStyle w:val="FirstParagraph"/>
      </w:pPr>
      <w:r>
        <w:rPr>
          <w:b/>
          <w:bCs/>
        </w:rPr>
        <w:t xml:space="preserve">Figura 1.</w:t>
      </w:r>
      <w:r>
        <w:t xml:space="preserve"> </w:t>
      </w:r>
      <w:r>
        <w:t xml:space="preserve">Líneas por sujeto + boxplot (mediana)</w:t>
      </w:r>
    </w:p>
    <w:p>
      <w:pPr>
        <w:pStyle w:val="BodyText"/>
      </w:pPr>
      <w:r>
        <w:drawing>
          <wp:inline>
            <wp:extent cx="5334000" cy="34290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C:\Escritorio 2026\CARPETAS\R book\CDO-app\report\Ejemplo_reporte_preproc_files/a65bddc10c81afc5b70625ba1bbd5d2c4cc79c44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18" w:name="cómo-reportar-el-resultado"/>
    <w:p>
      <w:pPr>
        <w:pStyle w:val="Heading1"/>
      </w:pPr>
      <w:r>
        <w:t xml:space="preserve">7. Cómo reportar el resultado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el párrafo siguiente fue prellenado con los valores calculados, siguiendo el formato de los recuadros</w:t>
      </w:r>
      <w:r>
        <w:t xml:space="preserve"> </w:t>
      </w:r>
      <w:r>
        <w:t xml:space="preserve">“Cómo reportar”</w:t>
      </w:r>
      <w:r>
        <w:t xml:space="preserve"> </w:t>
      </w:r>
      <w:r>
        <w:t xml:space="preserve">del libro. Los textos entre corchetes</w:t>
      </w:r>
      <w:r>
        <w:t xml:space="preserve"> </w:t>
      </w:r>
      <w:r>
        <w:rPr>
          <w:b/>
          <w:bCs/>
        </w:rPr>
        <w:t xml:space="preserve">[ ]</w:t>
      </w:r>
      <w:r>
        <w:t xml:space="preserve"> </w:t>
      </w:r>
      <w:r>
        <w:t xml:space="preserve">son placeholders que el usuario debe sustituir por el contexto de sus datos (variables, grupos, unidades, interpretación clínica).</w:t>
      </w:r>
    </w:p>
    <w:p>
      <w:pPr>
        <w:pStyle w:val="FirstParagraph"/>
      </w:pPr>
      <w:r>
        <w:t xml:space="preserve">La normalidad de la diferencia entre [X0] y [X2] fue evaluada con la prueba de Shapiro-Wilk (W = 0.90, p = 0.024), lo que evidencia una distribución no normal. La diferencia en [la variable medida] entre [X0] (mediana = 10.00; media = 13.00 ± 13.20) y [X2] (mediana = 10.00; media = 13.04 ± 12.14) fue evaluada con la prueba de Wilcoxon de rangos con signo, con una diferencia de medianas de 0.00 y una diferencia de medias de -0.04. Esta diferencia no fue estadísticamente significativa (V = 97.5, p = 0.936), con un tamaño de efecto trivial (r = 0.02) [Wilcoxon, 1945; Field, 2012].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Reporte generado automáticamente. Las decisiones metodológicas siguen las reglas descritas en el libro; la interpretación clínica es responsabilidad del usuario.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Reporte: Wilcoxon rangos con signo</dc:title>
  <dc:creator/>
  <cp:keywords/>
  <dcterms:created xsi:type="dcterms:W3CDTF">2026-09-22T17:07:01Z</dcterms:created>
  <dcterms:modified xsi:type="dcterms:W3CDTF">2026-09-22T17:07:01Z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 de septiembre de 2026</vt:lpwstr>
  </property>
  <property fmtid="{D5CDD505-2E9C-101B-9397-08002B2CF9AE}" pid="3" name="output">
    <vt:lpwstr/>
  </property>
  <property fmtid="{D5CDD505-2E9C-101B-9397-08002B2CF9AE}" pid="4" name="params">
    <vt:lpwstr/>
  </property>
  <property fmtid="{D5CDD505-2E9C-101B-9397-08002B2CF9AE}" pid="5" name="subtitle">
    <vt:lpwstr>Generado con la app CDO — Ciencia de Datos en Odontología. Un enfoque pragmático con R</vt:lpwstr>
  </property>
</Properties>
</file>