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Dureza Vickers de dos cementos en protocolo Dual</w:t>
      </w:r>
    </w:p>
    <w:p>
      <w:pPr>
        <w:pStyle w:val="Subtitle"/>
      </w:pPr>
      <w:r>
        <w:t xml:space="preserve">Prueba t independiente (dos grupos) · Generado con la app CDO —</w:t>
      </w:r>
      <w:r>
        <w:t xml:space="preserve"> </w:t>
      </w:r>
      <w:r>
        <w:rPr>
          <w:i/>
          <w:iCs/>
        </w:rPr>
        <w:t xml:space="preserve">Ciencia de Datos en Odontología. Un enfoque pragmático con R</w:t>
      </w:r>
    </w:p>
    <w:p>
      <w:pPr>
        <w:pStyle w:val="Date"/>
      </w:pPr>
      <w:r>
        <w:t xml:space="preserve">23 de septiembre de 2026</w:t>
      </w:r>
    </w:p>
    <w:bookmarkStart w:id="9" w:name="contexto-del-estudio"/>
    <w:p>
      <w:pPr>
        <w:pStyle w:val="Heading1"/>
      </w:pPr>
      <w:r>
        <w:t xml:space="preserve">1. Contexto del estudio</w:t>
      </w:r>
    </w:p>
    <w:p>
      <w:pPr>
        <w:pStyle w:val="FirstParagraph"/>
      </w:pPr>
      <w:r>
        <w:rPr>
          <w:b/>
          <w:bCs/>
        </w:rPr>
        <w:t xml:space="preserve">Contexto del estudio (completar por el usuario):</w:t>
      </w:r>
      <w:r>
        <w:t xml:space="preserve"> </w:t>
      </w:r>
      <w:r>
        <w:t xml:space="preserve">[Describa aquí el objetivo del análisis, la población, el diseño, el origen de los datos y el significado de cada variable]. El texto de resultados que sigue fue prellenado automáticamente con los valores calculados; sustituya los corchetes por el contexto de sus datos y revise la interpretación clínica.</w:t>
      </w:r>
    </w:p>
    <w:p>
      <w:pPr>
        <w:pStyle w:val="BodyText"/>
      </w:pPr>
      <w:r>
        <w:rPr>
          <w:b/>
          <w:bCs/>
        </w:rPr>
        <w:t xml:space="preserve">Análisis:</w:t>
      </w:r>
      <w:r>
        <w:t xml:space="preserve"> </w:t>
      </w:r>
      <w:r>
        <w:t xml:space="preserve">Prueba t independiente (dos grupos) (familia: Comparación de medias; capítulo de referencia:</w:t>
      </w:r>
      <w:r>
        <w:t xml:space="preserve"> </w:t>
      </w:r>
      <w:r>
        <w:rPr>
          <w:i/>
          <w:iCs/>
        </w:rPr>
        <w:t xml:space="preserve">Prueba t independiente en R</w:t>
      </w:r>
      <w:r>
        <w:t xml:space="preserve">).</w:t>
      </w:r>
      <w:r>
        <w:t xml:space="preserve"> </w:t>
      </w:r>
      <w:r>
        <w:rPr>
          <w:b/>
          <w:bCs/>
        </w:rPr>
        <w:t xml:space="preserve">Datos:</w:t>
      </w:r>
      <w:r>
        <w:t xml:space="preserve"> </w:t>
      </w:r>
      <w:r>
        <w:t xml:space="preserve">VickersF.txt.</w:t>
      </w:r>
      <w:r>
        <w:t xml:space="preserve"> </w:t>
      </w:r>
      <w:r>
        <w:rPr>
          <w:b/>
          <w:bCs/>
        </w:rPr>
        <w:t xml:space="preserve">Variables:</w:t>
      </w:r>
      <w:r>
        <w:t xml:space="preserve"> </w:t>
      </w:r>
      <w:r>
        <w:t xml:space="preserve">response = VH; group = Group.</w:t>
      </w:r>
    </w:p>
    <w:bookmarkEnd w:id="9"/>
    <w:bookmarkStart w:id="10" w:name="estadística-descriptiva"/>
    <w:p>
      <w:pPr>
        <w:pStyle w:val="Heading1"/>
      </w:pPr>
      <w:r>
        <w:t xml:space="preserve">2. Estadística descriptiva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1"/>
        <w:gridCol w:w="1712"/>
        <w:gridCol w:w="1712"/>
        <w:gridCol w:w="1712"/>
      </w:tblGrid>
      <w:tr>
        <w:trPr>
          <w:trHeight w:val="713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Multilink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Ultimate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(N=15)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(N=30)</w:t>
            </w:r>
          </w:p>
        </w:tc>
      </w:tr>
      <w:tr>
        <w:trPr>
          <w:trHeight w:val="54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 (2.52)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42.5 (2.21)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42.2 (2.35)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 [37.3, 46.0]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41.3 [39.8, 46.7]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 [37.3, 46.7]</w:t>
            </w:r>
          </w:p>
        </w:tc>
      </w:tr>
    </w:tbl>
    <w:bookmarkEnd w:id="10"/>
    <w:bookmarkStart w:id="11" w:name="verificación-de-supuestos"/>
    <w:p>
      <w:pPr>
        <w:pStyle w:val="Heading1"/>
      </w:pPr>
      <w:r>
        <w:t xml:space="preserve">3. Verificación de supuestos</w:t>
      </w:r>
    </w:p>
    <w:p>
      <w:pPr>
        <w:pStyle w:val="Compact"/>
        <w:numPr>
          <w:ilvl w:val="0"/>
          <w:numId w:val="1001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Normalidad (VH)</w:t>
      </w:r>
      <w:r>
        <w:t xml:space="preserve"> </w:t>
      </w:r>
      <w:r>
        <w:t xml:space="preserve">— La prueba de Shapiro-Wilk sobre VH (W = 0.965, p = 0.422) no muestra evidencia de una distribución diferente a la normal (lo cual no equivale a demostrarla).</w:t>
      </w:r>
    </w:p>
    <w:p>
      <w:pPr>
        <w:pStyle w:val="Compact"/>
        <w:numPr>
          <w:ilvl w:val="0"/>
          <w:numId w:val="1001"/>
        </w:numPr>
      </w:pPr>
      <w:r>
        <w:t xml:space="preserve">✔</w:t>
      </w:r>
      <w:r>
        <w:t xml:space="preserve"> </w:t>
      </w:r>
      <w:r>
        <w:rPr>
          <w:b/>
          <w:bCs/>
        </w:rPr>
        <w:t xml:space="preserve">Homogeneidad de varianzas</w:t>
      </w:r>
      <w:r>
        <w:t xml:space="preserve"> </w:t>
      </w:r>
      <w:r>
        <w:t xml:space="preserve">— La prueba de Levene (centro = mediana) para varianzas entre grupos (F(1, 28) = 0.077, p = 0.783) indica varianzas homogéneas: el supuesto se cumple.</w:t>
      </w:r>
    </w:p>
    <w:p>
      <w:pPr>
        <w:pStyle w:val="FirstParagraph"/>
      </w:pPr>
      <w:r>
        <w:rPr>
          <w:b/>
          <w:bCs/>
        </w:rPr>
        <w:t xml:space="preserve">Decisión:</w:t>
      </w:r>
      <w:r>
        <w:t xml:space="preserve"> </w:t>
      </w:r>
      <w:r>
        <w:t xml:space="preserve">Se cumplen los supuestos: se aplica la prueba paramétrica. Prueba aplicada:</w:t>
      </w:r>
      <w:r>
        <w:t xml:space="preserve"> </w:t>
      </w:r>
      <w:r>
        <w:rPr>
          <w:b/>
          <w:bCs/>
        </w:rPr>
        <w:t xml:space="preserve">Prueba t independiente (dos grupos)</w:t>
      </w:r>
      <w:r>
        <w:t xml:space="preserve">.</w:t>
      </w:r>
    </w:p>
    <w:bookmarkEnd w:id="11"/>
    <w:bookmarkStart w:id="12" w:name="Xc0b2163311694d9d5991cab7d4673726241cc1f"/>
    <w:p>
      <w:pPr>
        <w:pStyle w:val="Heading1"/>
      </w:pPr>
      <w:r>
        <w:t xml:space="preserve">4. Resultados del análisis (Prueba t independiente (dos grupos))</w:t>
      </w:r>
    </w:p>
    <w:p>
      <w:pPr>
        <w:pStyle w:val="FirstParagraph"/>
      </w:pPr>
      <w:r>
        <w:rPr>
          <w:i/>
          <w:iCs/>
        </w:rPr>
        <w:t xml:space="preserve">Corrección de Welch (var.equal = FALSE), opción por defecto y más robusta según el libro.</w:t>
      </w:r>
    </w:p>
    <w:p>
      <w:pPr>
        <w:pStyle w:val="BodyText"/>
      </w:pPr>
      <w:r>
        <w:rPr>
          <w:b/>
          <w:bCs/>
        </w:rPr>
        <w:t xml:space="preserve">Resultado de t.test()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medias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 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95% sup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</w:tr>
    </w:tbl>
    <w:bookmarkEnd w:id="12"/>
    <w:bookmarkStart w:id="13" w:name="cómo-reportar-el-resultado"/>
    <w:p>
      <w:pPr>
        <w:pStyle w:val="Heading1"/>
      </w:pPr>
      <w:r>
        <w:t xml:space="preserve">5. Cómo reportar el resultado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párrafo prellenado con los valores calculados, siguiendo los recuadros</w:t>
      </w:r>
      <w:r>
        <w:t xml:space="preserve"> </w:t>
      </w:r>
      <w:r>
        <w:t xml:space="preserve">“Cómo reportar”</w:t>
      </w:r>
      <w:r>
        <w:t xml:space="preserve"> </w:t>
      </w:r>
      <w:r>
        <w:t xml:space="preserve">del libro. Los textos entre corchetes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son placeholders que el usuario debe sustituir por el contexto de sus datos.</w:t>
      </w:r>
    </w:p>
    <w:p>
      <w:pPr>
        <w:pStyle w:val="FirstParagraph"/>
      </w:pPr>
      <w:r>
        <w:t xml:space="preserve">La normalidad se evaluó mediante la prueba de Shapiro-Wilk (W = 0.97, p = 0.422) y la evaluación gráfica (Q-Q plot), sin evidencia de distribución diferente a la normal. La homogeneidad de varianzas se evaluó con la prueba de Levene (F = 0.077, p = 0.783). La [variable de respuesta] entre [Multilink] (Media = 41.89, DE = 2.52) y [Ultimate] (Media = 42.47, DE = 2.21) no mostró una diferencia estadísticamente significativa (t = -0.67, df = 27.5, p = 0.509), con una diferencia de medias de Δ = -0.58 (IC 95 %: -2.35, 1.20), que representa un tamaño de efecto pequeño (r = 0.13) [Cohen, 1992].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automáticamente. Las decisiones metodológicas siguen las reglas descritas en el libro; la interpretación clínica es responsabilidad del usuario.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Dureza Vickers de dos cementos en protocolo Dual</dc:title>
  <dc:creator/>
  <cp:keywords/>
  <dcterms:created xsi:type="dcterms:W3CDTF">2026-09-23T17:44:15Z</dcterms:created>
  <dcterms:modified xsi:type="dcterms:W3CDTF">2026-09-23T17:44:15Z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de septiembre de 2026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Prueba t independiente (dos grupos) · Generado con la app CDO — Ciencia de Datos en Odontología. Un enfoque pragmático con R</vt:lpwstr>
  </property>
</Properties>
</file>