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9.0" w:type="dxa"/>
        <w:jc w:val="left"/>
        <w:tblLayout w:type="fixed"/>
        <w:tblLook w:val="0400"/>
      </w:tblPr>
      <w:tblGrid>
        <w:gridCol w:w="288"/>
        <w:gridCol w:w="8501"/>
        <w:tblGridChange w:id="0">
          <w:tblGrid>
            <w:gridCol w:w="288"/>
            <w:gridCol w:w="8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c396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color w:val="d9c396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c396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ceb37c" w:space="0" w:sz="12" w:val="single"/>
              <w:bottom w:color="000000" w:space="0" w:sz="0" w:val="nil"/>
              <w:right w:color="000000" w:space="0" w:sz="0" w:val="nil"/>
            </w:tcBorders>
            <w:shd w:fill="102b42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Evaluación sumativa UNIDAD Nº 3</w:t>
            </w:r>
          </w:p>
        </w:tc>
      </w:tr>
    </w:tbl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42"/>
        </w:tabs>
        <w:spacing w:after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42"/>
        </w:tabs>
        <w:spacing w:after="24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Desarrollo Frontend - Opción B: Caso SERCOTEC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42"/>
        </w:tabs>
        <w:spacing w:after="24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Resultados de Aprendizaje: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42"/>
        </w:tabs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Utiliza un framework para crear componentes reutilizables, siguiendo las mejores prácticas de desarrollo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42"/>
        </w:tabs>
        <w:spacing w:after="24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Construye aplicaciones de software de mediana complejidad utilizando el framework, incorporando interactividad y manejo de datos considerando el rendimiento y eficiencia del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 esta situación evaluativa, se espera evidenciar que los estudiantes: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Propone la creación de componentes.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Resuelve problemas complejos y multifacéticos en el desarrollo de componentes.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Formula una solución que incluye los conceptos de accesibilidad y usabilidad.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Gestiona el despliegue y la integración de los componentes en entornos complejos y multidisciplinarios necesarios según la naturaleza del proyecto.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Elabora un detalle de buenas prácticas.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Gestiona la colaboración y trabajo de equipo con herramientas de control de versiones.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Diseña interfaces de usuario interactivas, comprensibles e intuitivas, incorporando conceptos de diseño centrado en el usuario y usabilidad.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Aplica estrategias de optimización avanzadas.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Integra el uso de frameworks en la interfaz de usuario.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Aplica el consumo de endpoints.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 estrategias de seguridad avanzada.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Concluye en una documentación y difusión del conocimiento.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Establece un liderazgo en la mejora continua.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89.0" w:type="dxa"/>
        <w:jc w:val="left"/>
        <w:tblLayout w:type="fixed"/>
        <w:tblLook w:val="0400"/>
      </w:tblPr>
      <w:tblGrid>
        <w:gridCol w:w="288"/>
        <w:gridCol w:w="8501"/>
        <w:tblGridChange w:id="0">
          <w:tblGrid>
            <w:gridCol w:w="288"/>
            <w:gridCol w:w="8501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c396" w:val="clear"/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d9c396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c396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ceb37c" w:space="0" w:sz="12" w:val="single"/>
              <w:bottom w:color="000000" w:space="0" w:sz="0" w:val="nil"/>
              <w:right w:color="000000" w:space="0" w:sz="0" w:val="nil"/>
            </w:tcBorders>
            <w:shd w:fill="102b42" w:val="clear"/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Características de la evaluación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experiencia constituye una actividad calificada de la unidad, diseñada para ser abordada de manera colaborativa en grupos de hasta 3 integrantes.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 el fin de orientar el desempeño esperado, se sugiere revisar detalladamente la rúbrica de evaluación que se encuentra disponible en la plataforma institucional.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trata de una instancia evaluativa de desarrollo extendido, cuyo propósito es la formulación de una propuesta técnica que resuelva los requerimientos específicos de un caso de cliente real.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ejecución de esta tarea conlleva la elaboración y entrega formal de un producto final, el cual deberá ser gestionado y cargado oportunamente a través de la plataforma.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proceso asegura la integración de los conocimientos prácticos y teóricos desarrollados durante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0" w:tblpY="45"/>
        <w:tblW w:w="8789.0" w:type="dxa"/>
        <w:jc w:val="left"/>
        <w:tblLayout w:type="fixed"/>
        <w:tblLook w:val="0400"/>
      </w:tblPr>
      <w:tblGrid>
        <w:gridCol w:w="288"/>
        <w:gridCol w:w="8501"/>
        <w:tblGridChange w:id="0">
          <w:tblGrid>
            <w:gridCol w:w="288"/>
            <w:gridCol w:w="8501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c396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bCs w:val="1"/>
                <w:color w:val="d9c396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c396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ceb37c" w:space="0" w:sz="12" w:val="single"/>
              <w:bottom w:color="000000" w:space="0" w:sz="0" w:val="nil"/>
              <w:right w:color="000000" w:space="0" w:sz="0" w:val="nil"/>
            </w:tcBorders>
            <w:shd w:fill="102b42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Instrucciones</w:t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Centro de Negocios Santiago de SERCOTEC requiere actualizar su landing page institucional para mejorar la comunicación de servicios, navegación de usuarios y canal de contacto.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Esta versión corrige inconsistencias técnicas y mantiene la evaluación estrictamente dentro del alcance de Frontend.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Alcance Técnico (Solo Frontend)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evalúa exclusivamente diseño e implementación Frontend.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información dinámica se obtiene desde la Mock API institucional provista.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seguridad se evalúa en la capa cliente y en el consumo seguro de endpoints. No se exige desarrollo backend.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Requerimientos Obligatorios del Producto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Crear componente reutilizable de tarjeta de servicio con CTA a contacto y servicio preseleccionado.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Implementar carrusel de testimonios responsive con accesibilidad y usabilidad.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Integrar fuente de contenido administrable (Postman solo se utilizará para pruebas de endpoints y documentación de la API).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Redactar guía de buenas prácticas de desarrollo Frontend.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Gestionar colaboración con Git y GitHub (ramas, PR, revisión, trazabilidad).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Diseñar navegación y formulario de contacto centrados en usuario.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Optimizar rendimiento de la landing page.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Implementar interactividad avanzada con JavaScript/TypeScript y framework.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Consumir datos de API para secciones: nosotros, servicios y preguntas frecuentes.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Implementar seguridad frontend: validaciones cliente, sanitización de entradas, protección anti-bot y manejo de errores.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Ejecutar retrospectiva de equipo con plan de mejora continua.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Entregar documentación técnica en un archivo README.md.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Mock API Institucional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Base URL productiva: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https://mock-api-sercotec.onrender.com/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Endpoints obligatorios: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/api/health, /api/about, /api/services, /api/services/{id}, /api/faqs, /api/testimonials, /api/contact-requests.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Nota operativa: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 caso de indisponibilidad de la URL productiva, los estudiantes podrán levantar el entorno local utilizando json-server@0.17.4.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42"/>
        </w:tabs>
        <w:spacing w:after="24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text" w:horzAnchor="text" w:tblpX="0" w:tblpY="0"/>
        <w:tblW w:w="8789.0" w:type="dxa"/>
        <w:jc w:val="left"/>
        <w:tblLayout w:type="fixed"/>
        <w:tblLook w:val="0400"/>
      </w:tblPr>
      <w:tblGrid>
        <w:gridCol w:w="288"/>
        <w:gridCol w:w="8501"/>
        <w:tblGridChange w:id="0">
          <w:tblGrid>
            <w:gridCol w:w="288"/>
            <w:gridCol w:w="8501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c396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bCs w:val="1"/>
                <w:color w:val="d9c396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c396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ceb37c" w:space="0" w:sz="12" w:val="single"/>
              <w:bottom w:color="000000" w:space="0" w:sz="0" w:val="nil"/>
              <w:right w:color="000000" w:space="0" w:sz="0" w:val="nil"/>
            </w:tcBorders>
            <w:shd w:fill="102b42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Formato de entrega</w:t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42"/>
        </w:tabs>
        <w:spacing w:after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Comprima su proyecto en un archivo .zip (no se aceptará otro formato de compresión, siga las instrucciones) llamado eva3_xyz.zip donde xyz es el nombre de su grupo. Deberá colocar un nombre a su grupo e indique el nombre de los integrantes en el recuadro de texto de la evaluación (solo entrega 1 del grupo).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nombre a dar al archivo es el siguiente: Eval_U3A_NOMBRE_DEL_EQUIPO.zip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42"/>
        </w:tabs>
        <w:spacing w:after="240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Soho Gothic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Soho Gothic Pro" w:cs="Soho Gothic Pro" w:eastAsia="Soho Gothic Pro" w:hAnsi="Soho Gothic Pro"/>
        <w:color w:val="80808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8890</wp:posOffset>
          </wp:positionV>
          <wp:extent cx="7755890" cy="729429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5890" cy="72942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Soho Gothic Pro" w:cs="Soho Gothic Pro" w:eastAsia="Soho Gothic Pro" w:hAnsi="Soho Gothic Pro"/>
        <w:color w:val="808080"/>
        <w:sz w:val="18"/>
        <w:szCs w:val="18"/>
      </w:rPr>
    </w:pPr>
    <w:r w:rsidDel="00000000" w:rsidR="00000000" w:rsidRPr="00000000">
      <w:rPr>
        <w:rFonts w:ascii="Soho Gothic Pro" w:cs="Soho Gothic Pro" w:eastAsia="Soho Gothic Pro" w:hAnsi="Soho Gothic Pro"/>
        <w:color w:val="808080"/>
        <w:sz w:val="18"/>
        <w:szCs w:val="18"/>
        <w:rtl w:val="0"/>
      </w:rPr>
      <w:t xml:space="preserve">Formación para el desarrollo profesional – Ejercicios S1</w:t>
    </w:r>
  </w:p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Soho Gothic Pro" w:cs="Soho Gothic Pro" w:eastAsia="Soho Gothic Pro" w:hAnsi="Soho Gothic Pro"/>
        <w:color w:val="808080"/>
        <w:sz w:val="18"/>
        <w:szCs w:val="18"/>
      </w:rPr>
    </w:pPr>
    <w:r w:rsidDel="00000000" w:rsidR="00000000" w:rsidRPr="00000000">
      <w:rPr>
        <w:rFonts w:ascii="Soho Gothic Pro" w:cs="Soho Gothic Pro" w:eastAsia="Soho Gothic Pro" w:hAnsi="Soho Gothic Pro"/>
        <w:color w:val="808080"/>
        <w:sz w:val="18"/>
        <w:szCs w:val="18"/>
        <w:rtl w:val="0"/>
      </w:rPr>
      <w:t xml:space="preserve">CIISA Departamento Online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-449115</wp:posOffset>
          </wp:positionV>
          <wp:extent cx="7822411" cy="769731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2411" cy="76973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4099242</wp:posOffset>
              </wp:positionH>
              <wp:positionV relativeFrom="paragraph">
                <wp:posOffset>-380167</wp:posOffset>
              </wp:positionV>
              <wp:extent cx="2013345" cy="610671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53615" y="3491450"/>
                        <a:ext cx="1984770" cy="577101"/>
                      </a:xfrm>
                      <a:prstGeom prst="rect">
                        <a:avLst/>
                      </a:prstGeom>
                      <a:solidFill>
                        <a:srgbClr val="0F2B42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DESARROLLO FRONTEND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Evaluación Unidad 3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IF200IINF 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4099242</wp:posOffset>
              </wp:positionH>
              <wp:positionV relativeFrom="paragraph">
                <wp:posOffset>-380167</wp:posOffset>
              </wp:positionV>
              <wp:extent cx="2013345" cy="610671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3345" cy="61067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/>
      <w:pict>
        <v:shape id="WordPictureWatermark2" style="position:absolute;width:612.0pt;height:792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/>
      <w:pict>
        <v:shape id="WordPictureWatermark1" style="position:absolute;width:612.0pt;height:792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CRxj3zbAeYksL/S+trPNGrNWvA==">CgMxLjAyCGguZ2pkZ3hzOAByITFqZFl3dmFTV0JnN1NseTFjSHVjRktDNk1OZFZqNXU0cg==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