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360" w:lineRule="auto"/>
        <w:rPr>
          <w:b w:val="1"/>
          <w:bCs w:val="1"/>
          <w:sz w:val="24"/>
          <w:szCs w:val="24"/>
        </w:rPr>
      </w:pPr>
      <w:bookmarkStart w:colFirst="0" w:colLast="0" w:name="_heading=h.68vnx1c7wo9d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="360" w:lineRule="auto"/>
        <w:ind w:left="360" w:firstLine="0"/>
        <w:jc w:val="center"/>
        <w:rPr>
          <w:sz w:val="34"/>
          <w:szCs w:val="34"/>
        </w:rPr>
      </w:pPr>
      <w:bookmarkStart w:colFirst="0" w:colLast="0" w:name="_heading=h.ntnhpf6h0k29" w:id="1"/>
      <w:bookmarkEnd w:id="1"/>
      <w:r w:rsidDel="00000000" w:rsidR="00000000" w:rsidRPr="00000000">
        <w:rPr>
          <w:sz w:val="34"/>
          <w:szCs w:val="34"/>
          <w:rtl w:val="0"/>
        </w:rPr>
        <w:t xml:space="preserve">Evaluación Sumativa UNIDAD N° 3: Seguridad, Transaccionalidad y Despliegue</w:t>
      </w:r>
    </w:p>
    <w:p w:rsidR="00000000" w:rsidDel="00000000" w:rsidP="00000000" w:rsidRDefault="00000000" w:rsidRPr="00000000" w14:paraId="00000003">
      <w:pPr>
        <w:pStyle w:val="Heading3"/>
        <w:spacing w:after="80" w:before="280" w:line="360" w:lineRule="auto"/>
        <w:ind w:left="720" w:hanging="360"/>
        <w:rPr>
          <w:sz w:val="26"/>
          <w:szCs w:val="26"/>
        </w:rPr>
      </w:pPr>
      <w:bookmarkStart w:colFirst="0" w:colLast="0" w:name="_heading=h.fcqqkfwr5s6" w:id="2"/>
      <w:bookmarkEnd w:id="2"/>
      <w:r w:rsidDel="00000000" w:rsidR="00000000" w:rsidRPr="00000000">
        <w:rPr>
          <w:sz w:val="26"/>
          <w:szCs w:val="26"/>
          <w:rtl w:val="0"/>
        </w:rPr>
        <w:t xml:space="preserve">Resultados de Aprendizaje de la Unidad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evaluación consolida las competencias de las unidades anteriores y suma los requisitos finales del programa: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1.4.-</w:t>
      </w:r>
      <w:r w:rsidDel="00000000" w:rsidR="00000000" w:rsidRPr="00000000">
        <w:rPr>
          <w:sz w:val="24"/>
          <w:szCs w:val="24"/>
          <w:rtl w:val="0"/>
        </w:rPr>
        <w:t xml:space="preserve"> Implementa operaciones CRUD completas, integrando seguridad y manejo de perfiles.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1.4.3.-</w:t>
      </w:r>
      <w:r w:rsidDel="00000000" w:rsidR="00000000" w:rsidRPr="00000000">
        <w:rPr>
          <w:sz w:val="24"/>
          <w:szCs w:val="24"/>
          <w:rtl w:val="0"/>
        </w:rPr>
        <w:t xml:space="preserve"> Configura transacciones en Spring para garantizar la consistencia y seguridad de los datos.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Integración:</w:t>
      </w:r>
      <w:r w:rsidDel="00000000" w:rsidR="00000000" w:rsidRPr="00000000">
        <w:rPr>
          <w:sz w:val="24"/>
          <w:szCs w:val="24"/>
          <w:rtl w:val="0"/>
        </w:rPr>
        <w:t xml:space="preserve"> Implementa validaciones y auditoría de datos.</w:t>
      </w:r>
    </w:p>
    <w:p w:rsidR="00000000" w:rsidDel="00000000" w:rsidP="00000000" w:rsidRDefault="00000000" w:rsidRPr="00000000" w14:paraId="00000008">
      <w:pPr>
        <w:pStyle w:val="Heading3"/>
        <w:spacing w:after="80" w:before="280" w:line="360" w:lineRule="auto"/>
        <w:ind w:left="720" w:hanging="360"/>
        <w:rPr>
          <w:sz w:val="26"/>
          <w:szCs w:val="26"/>
        </w:rPr>
      </w:pPr>
      <w:bookmarkStart w:colFirst="0" w:colLast="0" w:name="_heading=h.qys17ky546qw" w:id="3"/>
      <w:bookmarkEnd w:id="3"/>
      <w:r w:rsidDel="00000000" w:rsidR="00000000" w:rsidRPr="00000000">
        <w:rPr>
          <w:sz w:val="26"/>
          <w:szCs w:val="26"/>
          <w:rtl w:val="0"/>
        </w:rPr>
        <w:t xml:space="preserve">Características de la Evaluación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Individual.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Formato:</w:t>
      </w:r>
      <w:r w:rsidDel="00000000" w:rsidR="00000000" w:rsidRPr="00000000">
        <w:rPr>
          <w:sz w:val="24"/>
          <w:szCs w:val="24"/>
          <w:rtl w:val="0"/>
        </w:rPr>
        <w:t xml:space="preserve"> Entrega de Código (Repositorio)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Defensa Oral en Clases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Ponderación:</w:t>
      </w:r>
      <w:r w:rsidDel="00000000" w:rsidR="00000000" w:rsidRPr="00000000">
        <w:rPr>
          <w:sz w:val="24"/>
          <w:szCs w:val="24"/>
          <w:rtl w:val="0"/>
        </w:rPr>
        <w:t xml:space="preserve"> 30% de la nota final (según progresión del programa).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Exigencia:</w:t>
      </w:r>
      <w:r w:rsidDel="00000000" w:rsidR="00000000" w:rsidRPr="00000000">
        <w:rPr>
          <w:sz w:val="24"/>
          <w:szCs w:val="24"/>
          <w:rtl w:val="0"/>
        </w:rPr>
        <w:t xml:space="preserve"> 60% para nota 4.0.</w:t>
      </w:r>
    </w:p>
    <w:p w:rsidR="00000000" w:rsidDel="00000000" w:rsidP="00000000" w:rsidRDefault="00000000" w:rsidRPr="00000000" w14:paraId="0000000D">
      <w:p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uocn732ljsj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3j93gi4r4rc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ui41uoeutu5b" w:id="6"/>
      <w:bookmarkEnd w:id="6"/>
      <w:r w:rsidDel="00000000" w:rsidR="00000000" w:rsidRPr="00000000">
        <w:rPr>
          <w:sz w:val="26"/>
          <w:szCs w:val="26"/>
          <w:rtl w:val="0"/>
        </w:rPr>
        <w:t xml:space="preserve">Instrucciones del Proyecto (Continuidad EV2)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tomar el proyecto "Sistema de Biblioteca" (o el contexto aprobado) desarrollado en la Evaluación 2 y evolucionarlo a una aplicación profesional y segura. En la etapa anterior se implementaron las entidades y servicios básicos; en esta etapa se exige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ciclo completo de vida del dato (Full CRUD)</w:t>
      </w:r>
      <w:r w:rsidDel="00000000" w:rsidR="00000000" w:rsidRPr="00000000">
        <w:rPr>
          <w:sz w:val="24"/>
          <w:szCs w:val="24"/>
          <w:rtl w:val="0"/>
        </w:rPr>
        <w:t xml:space="preserve"> protegido por roles.</w:t>
      </w:r>
    </w:p>
    <w:p w:rsidR="00000000" w:rsidDel="00000000" w:rsidP="00000000" w:rsidRDefault="00000000" w:rsidRPr="00000000" w14:paraId="00000012">
      <w:pPr>
        <w:pStyle w:val="Heading4"/>
        <w:spacing w:after="40" w:before="240" w:line="360" w:lineRule="auto"/>
        <w:ind w:left="720" w:hanging="360"/>
        <w:rPr>
          <w:sz w:val="22"/>
          <w:szCs w:val="22"/>
        </w:rPr>
      </w:pPr>
      <w:bookmarkStart w:colFirst="0" w:colLast="0" w:name="_heading=h.d5lyberuvd7w" w:id="7"/>
      <w:bookmarkEnd w:id="7"/>
      <w:r w:rsidDel="00000000" w:rsidR="00000000" w:rsidRPr="00000000">
        <w:rPr>
          <w:sz w:val="22"/>
          <w:szCs w:val="22"/>
          <w:rtl w:val="0"/>
        </w:rPr>
        <w:t xml:space="preserve">1. Implementación de Spring Security (Autenticación y Autorización)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integrar el starter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spring-boot-starter-security</w:t>
      </w:r>
      <w:r w:rsidDel="00000000" w:rsidR="00000000" w:rsidRPr="00000000">
        <w:rPr>
          <w:sz w:val="24"/>
          <w:szCs w:val="24"/>
          <w:rtl w:val="0"/>
        </w:rPr>
        <w:t xml:space="preserve"> y configurar lo siguiente: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Manejo de Roles:</w:t>
      </w:r>
      <w:r w:rsidDel="00000000" w:rsidR="00000000" w:rsidRPr="00000000">
        <w:rPr>
          <w:sz w:val="24"/>
          <w:szCs w:val="24"/>
          <w:rtl w:val="0"/>
        </w:rPr>
        <w:t xml:space="preserve"> El sistema debe tener al menos dos roles diferenciados (ej.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Personalizado:</w:t>
      </w:r>
      <w:r w:rsidDel="00000000" w:rsidR="00000000" w:rsidRPr="00000000">
        <w:rPr>
          <w:sz w:val="24"/>
          <w:szCs w:val="24"/>
          <w:rtl w:val="0"/>
        </w:rPr>
        <w:t xml:space="preserve"> Crear una vista de inicio de sesión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login.html</w:t>
      </w:r>
      <w:r w:rsidDel="00000000" w:rsidR="00000000" w:rsidRPr="00000000">
        <w:rPr>
          <w:sz w:val="24"/>
          <w:szCs w:val="24"/>
          <w:rtl w:val="0"/>
        </w:rPr>
        <w:t xml:space="preserve">) estilizada, que reemplace el formulario por defecto de Spring.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Protección de Rutas (Endpoint Security):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usuario autenticado puede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 (Read)</w:t>
      </w:r>
      <w:r w:rsidDel="00000000" w:rsidR="00000000" w:rsidRPr="00000000">
        <w:rPr>
          <w:sz w:val="24"/>
          <w:szCs w:val="24"/>
          <w:rtl w:val="0"/>
        </w:rPr>
        <w:t xml:space="preserve"> el catálogo de libros.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el rol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puede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(Create)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Editar (Update)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Eliminar (Delete)</w:t>
      </w:r>
      <w:r w:rsidDel="00000000" w:rsidR="00000000" w:rsidRPr="00000000">
        <w:rPr>
          <w:sz w:val="24"/>
          <w:szCs w:val="24"/>
          <w:rtl w:val="0"/>
        </w:rPr>
        <w:t xml:space="preserve"> registros.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 Encoding:</w:t>
      </w:r>
      <w:r w:rsidDel="00000000" w:rsidR="00000000" w:rsidRPr="00000000">
        <w:rPr>
          <w:sz w:val="24"/>
          <w:szCs w:val="24"/>
          <w:rtl w:val="0"/>
        </w:rPr>
        <w:t xml:space="preserve"> Las contraseñas de los usuarios deben almacenarse encriptadas en la base de datos (usando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BCryptPasswordEncoder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pStyle w:val="Heading4"/>
        <w:spacing w:after="40" w:before="240" w:line="360" w:lineRule="auto"/>
        <w:ind w:left="720" w:hanging="360"/>
        <w:rPr>
          <w:sz w:val="22"/>
          <w:szCs w:val="22"/>
        </w:rPr>
      </w:pPr>
      <w:bookmarkStart w:colFirst="0" w:colLast="0" w:name="_heading=h.79jvuwm5h9w8" w:id="8"/>
      <w:bookmarkEnd w:id="8"/>
      <w:r w:rsidDel="00000000" w:rsidR="00000000" w:rsidRPr="00000000">
        <w:rPr>
          <w:sz w:val="22"/>
          <w:szCs w:val="22"/>
          <w:rtl w:val="0"/>
        </w:rPr>
        <w:t xml:space="preserve">2. CRUD Avanzado y Transaccionalidad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completar las operaciones pendientes y asegurar la integridad: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Completar CRUD:</w:t>
      </w:r>
      <w:r w:rsidDel="00000000" w:rsidR="00000000" w:rsidRPr="00000000">
        <w:rPr>
          <w:sz w:val="24"/>
          <w:szCs w:val="24"/>
          <w:rtl w:val="0"/>
        </w:rPr>
        <w:t xml:space="preserve"> Si en la EV2 solo listó y creó, ahora debe asegurar que las funciones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Eliminar</w:t>
      </w:r>
      <w:r w:rsidDel="00000000" w:rsidR="00000000" w:rsidRPr="00000000">
        <w:rPr>
          <w:sz w:val="24"/>
          <w:szCs w:val="24"/>
          <w:rtl w:val="0"/>
        </w:rPr>
        <w:t xml:space="preserve"> funcionen perfectamente, pero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solo</w:t>
      </w:r>
      <w:r w:rsidDel="00000000" w:rsidR="00000000" w:rsidRPr="00000000">
        <w:rPr>
          <w:sz w:val="24"/>
          <w:szCs w:val="24"/>
          <w:rtl w:val="0"/>
        </w:rPr>
        <w:t xml:space="preserve"> accesibles mediante los botones de acción habilitados para el administrador.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Transaccionalidad:</w:t>
      </w:r>
      <w:r w:rsidDel="00000000" w:rsidR="00000000" w:rsidRPr="00000000">
        <w:rPr>
          <w:sz w:val="24"/>
          <w:szCs w:val="24"/>
          <w:rtl w:val="0"/>
        </w:rPr>
        <w:t xml:space="preserve"> Debe anotar los métodos de servicio que modifican la base de datos (guardar, actualizar, eliminar)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@Transactional</w:t>
      </w:r>
      <w:r w:rsidDel="00000000" w:rsidR="00000000" w:rsidRPr="00000000">
        <w:rPr>
          <w:sz w:val="24"/>
          <w:szCs w:val="24"/>
          <w:rtl w:val="0"/>
        </w:rPr>
        <w:t xml:space="preserve"> para asegurar la atomicidad de la operación.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Validaciones:</w:t>
      </w:r>
      <w:r w:rsidDel="00000000" w:rsidR="00000000" w:rsidRPr="00000000">
        <w:rPr>
          <w:sz w:val="24"/>
          <w:szCs w:val="24"/>
          <w:rtl w:val="0"/>
        </w:rPr>
        <w:t xml:space="preserve"> Implementar validaciones de backend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@Valid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@NotNull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@Size</w:t>
      </w:r>
      <w:r w:rsidDel="00000000" w:rsidR="00000000" w:rsidRPr="00000000">
        <w:rPr>
          <w:sz w:val="24"/>
          <w:szCs w:val="24"/>
          <w:rtl w:val="0"/>
        </w:rPr>
        <w:t xml:space="preserve">) en las entidades y manejar los errores en el controlador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BindingResult</w:t>
      </w:r>
      <w:r w:rsidDel="00000000" w:rsidR="00000000" w:rsidRPr="00000000">
        <w:rPr>
          <w:sz w:val="24"/>
          <w:szCs w:val="24"/>
          <w:rtl w:val="0"/>
        </w:rPr>
        <w:t xml:space="preserve"> para mostrarlos en la vista (feedback al usuario).</w:t>
      </w:r>
    </w:p>
    <w:p w:rsidR="00000000" w:rsidDel="00000000" w:rsidP="00000000" w:rsidRDefault="00000000" w:rsidRPr="00000000" w14:paraId="0000001F">
      <w:p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cph8jvl7fulz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5o3g2v5k6dmr" w:id="10"/>
      <w:bookmarkEnd w:id="10"/>
      <w:r w:rsidDel="00000000" w:rsidR="00000000" w:rsidRPr="00000000">
        <w:rPr>
          <w:sz w:val="26"/>
          <w:szCs w:val="26"/>
          <w:rtl w:val="0"/>
        </w:rPr>
        <w:t xml:space="preserve">Desafío de Eximición (Opcional - Nota Máxima)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aquellos estudiantes que deseen eximirse del Examen Final, deberán cumplir con los puntos anteriores y además realizar el despliegue profesional de la aplicación utilizando la siguiente arquitectura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Native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Containerización:</w:t>
      </w:r>
      <w:r w:rsidDel="00000000" w:rsidR="00000000" w:rsidRPr="00000000">
        <w:rPr>
          <w:sz w:val="24"/>
          <w:szCs w:val="24"/>
          <w:rtl w:val="0"/>
        </w:rPr>
        <w:t xml:space="preserve"> Crear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sz w:val="24"/>
          <w:szCs w:val="24"/>
          <w:rtl w:val="0"/>
        </w:rPr>
        <w:t xml:space="preserve"> optimizado para la aplicación Spring Boot.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Imágenes:</w:t>
      </w:r>
      <w:r w:rsidDel="00000000" w:rsidR="00000000" w:rsidRPr="00000000">
        <w:rPr>
          <w:sz w:val="24"/>
          <w:szCs w:val="24"/>
          <w:rtl w:val="0"/>
        </w:rPr>
        <w:t xml:space="preserve"> Subir la imagen del proyecto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Hub</w:t>
      </w:r>
      <w:r w:rsidDel="00000000" w:rsidR="00000000" w:rsidRPr="00000000">
        <w:rPr>
          <w:sz w:val="24"/>
          <w:szCs w:val="24"/>
          <w:rtl w:val="0"/>
        </w:rPr>
        <w:t xml:space="preserve"> (repositorio público o privado).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Cloud:</w:t>
      </w:r>
      <w:r w:rsidDel="00000000" w:rsidR="00000000" w:rsidRPr="00000000">
        <w:rPr>
          <w:sz w:val="24"/>
          <w:szCs w:val="24"/>
          <w:rtl w:val="0"/>
        </w:rPr>
        <w:t xml:space="preserve"> Configurar una base de datos remota MySQL-compatible utilizando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TiDB Cloud</w:t>
      </w:r>
      <w:r w:rsidDel="00000000" w:rsidR="00000000" w:rsidRPr="00000000">
        <w:rPr>
          <w:sz w:val="24"/>
          <w:szCs w:val="24"/>
          <w:rtl w:val="0"/>
        </w:rPr>
        <w:t xml:space="preserve"> (Plan Serverless Free). La aplicación debe conectarse a esta BD en producción.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Despliegue Serverless:</w:t>
      </w:r>
      <w:r w:rsidDel="00000000" w:rsidR="00000000" w:rsidRPr="00000000">
        <w:rPr>
          <w:sz w:val="24"/>
          <w:szCs w:val="24"/>
          <w:rtl w:val="0"/>
        </w:rPr>
        <w:t xml:space="preserve"> Desplegar el contenedor Docker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Koyeb</w:t>
      </w:r>
      <w:r w:rsidDel="00000000" w:rsidR="00000000" w:rsidRPr="00000000">
        <w:rPr>
          <w:sz w:val="24"/>
          <w:szCs w:val="24"/>
          <w:rtl w:val="0"/>
        </w:rPr>
        <w:t xml:space="preserve"> (u otro servicio similar como Render/Railway) conectando las variables de entorno para la base de datos.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Entregable:</w:t>
      </w:r>
      <w:r w:rsidDel="00000000" w:rsidR="00000000" w:rsidRPr="00000000">
        <w:rPr>
          <w:sz w:val="24"/>
          <w:szCs w:val="24"/>
          <w:rtl w:val="0"/>
        </w:rPr>
        <w:t xml:space="preserve"> URL funcional HTTPS de la aplicación en vivo.</w:t>
      </w:r>
    </w:p>
    <w:p w:rsidR="00000000" w:rsidDel="00000000" w:rsidP="00000000" w:rsidRDefault="00000000" w:rsidRPr="00000000" w14:paraId="00000028">
      <w:p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kmykc3svw35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bajuapy8p61k" w:id="12"/>
      <w:bookmarkEnd w:id="12"/>
      <w:r w:rsidDel="00000000" w:rsidR="00000000" w:rsidRPr="00000000">
        <w:rPr>
          <w:sz w:val="26"/>
          <w:szCs w:val="26"/>
          <w:rtl w:val="0"/>
        </w:rPr>
        <w:t xml:space="preserve">Estructura de la Defensa (Presentación en Clases)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dispondrá de 10 minutos para defender su proyecto frente al curso y al docente.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Demostración Funcional (5 min):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con usuario normal (mostrar restricciones).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con administrador (mostrar flujo completo de Crear, Editar, Eliminar).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Demostración de validaciones (intentar guardar datos vacíos).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de Código (2 min):</w:t>
      </w:r>
      <w:r w:rsidDel="00000000" w:rsidR="00000000" w:rsidRPr="00000000">
        <w:rPr>
          <w:sz w:val="24"/>
          <w:szCs w:val="24"/>
          <w:rtl w:val="0"/>
        </w:rPr>
        <w:t xml:space="preserve"> Explicar la clase de configuración de Seguridad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SecurityConfig</w:t>
      </w:r>
      <w:r w:rsidDel="00000000" w:rsidR="00000000" w:rsidRPr="00000000">
        <w:rPr>
          <w:sz w:val="24"/>
          <w:szCs w:val="24"/>
          <w:rtl w:val="0"/>
        </w:rPr>
        <w:t xml:space="preserve">) y un Servicio Transaccional.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 Teóricas (3 min):</w:t>
      </w:r>
      <w:r w:rsidDel="00000000" w:rsidR="00000000" w:rsidRPr="00000000">
        <w:rPr>
          <w:sz w:val="24"/>
          <w:szCs w:val="24"/>
          <w:rtl w:val="0"/>
        </w:rPr>
        <w:t xml:space="preserve"> El docente realizará 2 preguntas del "Stack de Preguntas" adjunto.</w:t>
      </w:r>
    </w:p>
    <w:p w:rsidR="00000000" w:rsidDel="00000000" w:rsidP="00000000" w:rsidRDefault="00000000" w:rsidRPr="00000000" w14:paraId="00000032">
      <w:p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vmv8c21e8py7" w:id="13"/>
      <w:bookmarkEnd w:id="13"/>
      <w:r w:rsidDel="00000000" w:rsidR="00000000" w:rsidRPr="00000000">
        <w:rPr>
          <w:sz w:val="26"/>
          <w:szCs w:val="26"/>
          <w:rtl w:val="0"/>
        </w:rPr>
        <w:t xml:space="preserve">Stack de Preguntas para la Defensa (Banco de Preguntas)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Utilice estas preguntas para evaluar el dominio conceptual del estudiante durante la presentación:</w:t>
      </w:r>
    </w:p>
    <w:p w:rsidR="00000000" w:rsidDel="00000000" w:rsidP="00000000" w:rsidRDefault="00000000" w:rsidRPr="00000000" w14:paraId="00000035">
      <w:pPr>
        <w:pStyle w:val="Heading4"/>
        <w:spacing w:after="40" w:before="240" w:line="360" w:lineRule="auto"/>
        <w:ind w:left="720" w:hanging="360"/>
        <w:rPr>
          <w:sz w:val="22"/>
          <w:szCs w:val="22"/>
        </w:rPr>
      </w:pPr>
      <w:bookmarkStart w:colFirst="0" w:colLast="0" w:name="_heading=h.saxtmeryltv1" w:id="14"/>
      <w:bookmarkEnd w:id="14"/>
      <w:r w:rsidDel="00000000" w:rsidR="00000000" w:rsidRPr="00000000">
        <w:rPr>
          <w:sz w:val="22"/>
          <w:szCs w:val="22"/>
          <w:rtl w:val="0"/>
        </w:rPr>
        <w:t xml:space="preserve">Sobre Spring Boot y Arquitectura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¿Qué es la Inyección de Dependencias y cómo la facilita Spring Boot a través de la anotación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@Autowired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Explique el ciclo de vida de una petición en el patrón MVC implementado en su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¿Cuál es la diferencia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@Controller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@RestController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spacing w:after="40" w:before="240" w:line="360" w:lineRule="auto"/>
        <w:ind w:left="720" w:hanging="360"/>
        <w:rPr>
          <w:sz w:val="22"/>
          <w:szCs w:val="22"/>
        </w:rPr>
      </w:pPr>
      <w:bookmarkStart w:colFirst="0" w:colLast="0" w:name="_heading=h.qe0rpqikpj5j" w:id="15"/>
      <w:bookmarkEnd w:id="15"/>
      <w:r w:rsidDel="00000000" w:rsidR="00000000" w:rsidRPr="00000000">
        <w:rPr>
          <w:sz w:val="22"/>
          <w:szCs w:val="22"/>
          <w:rtl w:val="0"/>
        </w:rPr>
        <w:t xml:space="preserve">Sobre Persistencia y Datos (JPA/Hibernate)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¿Para qué sirve la anotación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@Transactional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qué ocurre si una operación falla dentro de un método anotado con ella?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diferencia existe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JpaRepository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CrudRepository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¿Por qué es importante usar DTOs/DAOs en lugar de exponer las Entidades directamente?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spacing w:after="40" w:before="240" w:line="360" w:lineRule="auto"/>
        <w:ind w:left="720" w:hanging="360"/>
        <w:rPr>
          <w:sz w:val="22"/>
          <w:szCs w:val="22"/>
        </w:rPr>
      </w:pPr>
      <w:bookmarkStart w:colFirst="0" w:colLast="0" w:name="_heading=h.kvsje974rsnx" w:id="16"/>
      <w:bookmarkEnd w:id="16"/>
      <w:r w:rsidDel="00000000" w:rsidR="00000000" w:rsidRPr="00000000">
        <w:rPr>
          <w:sz w:val="22"/>
          <w:szCs w:val="22"/>
          <w:rtl w:val="0"/>
        </w:rPr>
        <w:t xml:space="preserve">Sobre Seguridad (Spring Security)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Explique la diferencia entre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BCrypt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por qué no debemos guardar contraseñas en texto plano?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funciona el objeto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UserDetails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 Spring Security?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spacing w:after="40" w:before="240" w:line="360" w:lineRule="auto"/>
        <w:ind w:left="720" w:hanging="360"/>
        <w:rPr>
          <w:sz w:val="22"/>
          <w:szCs w:val="22"/>
        </w:rPr>
      </w:pPr>
      <w:bookmarkStart w:colFirst="0" w:colLast="0" w:name="_heading=h.bberkgwkhysa" w:id="17"/>
      <w:bookmarkEnd w:id="17"/>
      <w:r w:rsidDel="00000000" w:rsidR="00000000" w:rsidRPr="00000000">
        <w:rPr>
          <w:sz w:val="22"/>
          <w:szCs w:val="22"/>
          <w:rtl w:val="0"/>
        </w:rPr>
        <w:t xml:space="preserve">Sobre Despliegue y DevOps (Para quienes optan a eximición)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son las Variables de Entorno y por qué son cruciales en un despliegue Cloud (Koyeb/TiDB)?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-4919659</wp:posOffset>
          </wp:positionH>
          <wp:positionV relativeFrom="paragraph">
            <wp:posOffset>114300</wp:posOffset>
          </wp:positionV>
          <wp:extent cx="11920538" cy="76200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55324" t="0"/>
                  <a:stretch>
                    <a:fillRect/>
                  </a:stretch>
                </pic:blipFill>
                <pic:spPr>
                  <a:xfrm>
                    <a:off x="0" y="0"/>
                    <a:ext cx="11920538" cy="76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-9521</wp:posOffset>
          </wp:positionH>
          <wp:positionV relativeFrom="page">
            <wp:posOffset>-19046</wp:posOffset>
          </wp:positionV>
          <wp:extent cx="9696450" cy="757238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96450" cy="7572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h+68BEVxZuaga14uZ60LJCfEzg==">CgMxLjAyDmguNjh2bngxYzd3bzlkMg5oLm50bmhwZjZoMGsyOTINaC5mY3Fxa2Z3cjVzNjIOaC5xeXMxN2t5NTQ2cXcyDmgudW9jbjczMmxqc2pzMg5oLjNqOTNnaTRyNHJjZzIOaC51aTQxdW9ldXR1NWIyDmguZDVseWJlcnV2ZDd3Mg5oLjc5anZ1d201aDl3ODIOaC5jcGg4anZsN2Z1bHoyDmguNW8zZzJ2NWs2ZG1yMg5oLmtteWtjM3N2dzM1bzIOaC5iYWp1YXB5OHA2MWsyDmgudm12OGMyMWU4cHk3Mg5oLnNheHRtZXJ5bHR2MTIOaC5xZTBycHFpa3BqNWoyDmgua3ZzamU5NzRyc254Mg5oLmJiZXJrZ3draHlzYTgAciExRXdGSUFQN1FLMVJYZmdpN1RPOTdENjhTRkotVkJh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