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0FD83" w14:textId="77777777" w:rsidR="00242F0F" w:rsidRPr="00AB59AB" w:rsidRDefault="00000000">
      <w:pPr>
        <w:spacing w:after="0" w:line="240" w:lineRule="auto"/>
        <w:ind w:left="3" w:hanging="5"/>
        <w:jc w:val="center"/>
        <w:rPr>
          <w:rFonts w:asciiTheme="majorHAnsi" w:hAnsiTheme="majorHAnsi" w:cstheme="majorHAnsi"/>
          <w:b/>
          <w:color w:val="003F6C"/>
          <w:sz w:val="48"/>
          <w:szCs w:val="48"/>
        </w:rPr>
      </w:pPr>
      <w:bookmarkStart w:id="0" w:name="_heading=h.gjdgxs" w:colFirst="0" w:colLast="0"/>
      <w:bookmarkEnd w:id="0"/>
      <w:r w:rsidRPr="00AB59AB">
        <w:rPr>
          <w:rFonts w:asciiTheme="majorHAnsi" w:hAnsiTheme="majorHAnsi" w:cstheme="majorHAnsi"/>
          <w:b/>
          <w:color w:val="003F6C"/>
          <w:sz w:val="48"/>
          <w:szCs w:val="48"/>
        </w:rPr>
        <w:t>Acta de Constitución del Proyecto</w:t>
      </w:r>
    </w:p>
    <w:p w14:paraId="256A8A58" w14:textId="77777777" w:rsidR="00242F0F" w:rsidRPr="00AB59AB" w:rsidRDefault="00000000">
      <w:pPr>
        <w:pStyle w:val="Ttulo1"/>
        <w:spacing w:before="280" w:after="280"/>
        <w:ind w:left="1" w:hanging="3"/>
        <w:rPr>
          <w:rFonts w:asciiTheme="majorHAnsi" w:hAnsiTheme="majorHAnsi" w:cstheme="majorHAnsi"/>
          <w:color w:val="005693"/>
        </w:rPr>
      </w:pPr>
      <w:bookmarkStart w:id="1" w:name="_heading=h.30j0zll" w:colFirst="0" w:colLast="0"/>
      <w:bookmarkEnd w:id="1"/>
      <w:r w:rsidRPr="00AB59AB">
        <w:rPr>
          <w:rFonts w:asciiTheme="majorHAnsi" w:hAnsiTheme="majorHAnsi" w:cstheme="majorHAnsi"/>
          <w:color w:val="005693"/>
        </w:rPr>
        <w:t>Información del proyecto</w:t>
      </w:r>
    </w:p>
    <w:p w14:paraId="034A2046" w14:textId="77777777" w:rsidR="00242F0F" w:rsidRPr="00AB59AB" w:rsidRDefault="00000000">
      <w:pPr>
        <w:pStyle w:val="Ttulo2"/>
        <w:spacing w:before="280" w:after="280"/>
        <w:ind w:hanging="2"/>
        <w:rPr>
          <w:rFonts w:asciiTheme="majorHAnsi" w:hAnsiTheme="majorHAnsi" w:cstheme="majorHAnsi"/>
          <w:color w:val="666666"/>
        </w:rPr>
      </w:pPr>
      <w:r w:rsidRPr="00AB59AB">
        <w:rPr>
          <w:rFonts w:asciiTheme="majorHAnsi" w:hAnsiTheme="majorHAnsi" w:cstheme="majorHAnsi"/>
          <w:color w:val="666666"/>
        </w:rPr>
        <w:t>Datos</w:t>
      </w:r>
    </w:p>
    <w:tbl>
      <w:tblPr>
        <w:tblStyle w:val="ab"/>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9"/>
        <w:gridCol w:w="5751"/>
      </w:tblGrid>
      <w:tr w:rsidR="00242F0F" w:rsidRPr="00AB59AB" w14:paraId="2C8EA66C"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4DC4C9C9" w14:textId="77777777" w:rsidR="00242F0F" w:rsidRPr="00AB59AB" w:rsidRDefault="00000000">
            <w:pPr>
              <w:spacing w:after="0" w:line="240" w:lineRule="auto"/>
              <w:ind w:hanging="2"/>
              <w:rPr>
                <w:rFonts w:asciiTheme="majorHAnsi" w:hAnsiTheme="majorHAnsi" w:cstheme="majorHAnsi"/>
                <w:color w:val="FFFFFF"/>
              </w:rPr>
            </w:pPr>
            <w:r w:rsidRPr="00AB59AB">
              <w:rPr>
                <w:rFonts w:asciiTheme="majorHAnsi" w:hAnsiTheme="majorHAnsi" w:cstheme="majorHAnsi"/>
                <w:color w:val="FFFFFF"/>
                <w:sz w:val="16"/>
              </w:rPr>
              <w:t>Empresa / Organización</w:t>
            </w:r>
          </w:p>
        </w:tc>
        <w:tc>
          <w:tcPr>
            <w:tcW w:w="5751" w:type="dxa"/>
            <w:tcBorders>
              <w:top w:val="single" w:sz="4" w:space="0" w:color="666666"/>
              <w:left w:val="single" w:sz="4" w:space="0" w:color="003F6C"/>
              <w:bottom w:val="single" w:sz="4" w:space="0" w:color="666666"/>
              <w:right w:val="single" w:sz="4" w:space="0" w:color="666666"/>
            </w:tcBorders>
          </w:tcPr>
          <w:p w14:paraId="117E123F"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7"/>
              </w:rPr>
              <w:t>Duoc UC Plaza Norte / Ingeniería en Informática</w:t>
            </w:r>
          </w:p>
        </w:tc>
      </w:tr>
      <w:tr w:rsidR="00242F0F" w:rsidRPr="00AB59AB" w14:paraId="623D15FF"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7793452A" w14:textId="77777777" w:rsidR="00242F0F" w:rsidRPr="00AB59AB" w:rsidRDefault="00000000">
            <w:pPr>
              <w:spacing w:after="0" w:line="240" w:lineRule="auto"/>
              <w:ind w:hanging="2"/>
              <w:rPr>
                <w:rFonts w:asciiTheme="majorHAnsi" w:hAnsiTheme="majorHAnsi" w:cstheme="majorHAnsi"/>
                <w:color w:val="FFFFFF"/>
              </w:rPr>
            </w:pPr>
            <w:r w:rsidRPr="00AB59AB">
              <w:rPr>
                <w:rFonts w:asciiTheme="majorHAnsi" w:hAnsiTheme="majorHAnsi" w:cstheme="majorHAnsi"/>
                <w:color w:val="FFFFFF"/>
                <w:sz w:val="16"/>
              </w:rPr>
              <w:t>Proyecto</w:t>
            </w:r>
          </w:p>
        </w:tc>
        <w:tc>
          <w:tcPr>
            <w:tcW w:w="5751" w:type="dxa"/>
            <w:tcBorders>
              <w:top w:val="single" w:sz="4" w:space="0" w:color="666666"/>
              <w:left w:val="single" w:sz="4" w:space="0" w:color="003F6C"/>
              <w:bottom w:val="single" w:sz="4" w:space="0" w:color="666666"/>
              <w:right w:val="single" w:sz="4" w:space="0" w:color="666666"/>
            </w:tcBorders>
          </w:tcPr>
          <w:p w14:paraId="67D1447B"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7"/>
              </w:rPr>
              <w:t>CuTuCo (Cultiva Tu Compra) - Marketplace SaaS B2B2C de comercio de proximidad</w:t>
            </w:r>
          </w:p>
        </w:tc>
      </w:tr>
      <w:tr w:rsidR="00242F0F" w:rsidRPr="00AB59AB" w14:paraId="32735F29"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5C81C661" w14:textId="77777777" w:rsidR="00242F0F" w:rsidRPr="00AB59AB" w:rsidRDefault="00000000">
            <w:pPr>
              <w:spacing w:after="0" w:line="240" w:lineRule="auto"/>
              <w:ind w:hanging="2"/>
              <w:rPr>
                <w:rFonts w:asciiTheme="majorHAnsi" w:hAnsiTheme="majorHAnsi" w:cstheme="majorHAnsi"/>
                <w:color w:val="FFFFFF"/>
              </w:rPr>
            </w:pPr>
            <w:r w:rsidRPr="00AB59AB">
              <w:rPr>
                <w:rFonts w:asciiTheme="majorHAnsi" w:hAnsiTheme="majorHAnsi" w:cstheme="majorHAnsi"/>
                <w:color w:val="FFFFFF"/>
                <w:sz w:val="16"/>
              </w:rPr>
              <w:t>Fecha de preparación</w:t>
            </w:r>
          </w:p>
        </w:tc>
        <w:tc>
          <w:tcPr>
            <w:tcW w:w="5751" w:type="dxa"/>
            <w:tcBorders>
              <w:top w:val="single" w:sz="4" w:space="0" w:color="666666"/>
              <w:left w:val="single" w:sz="4" w:space="0" w:color="003F6C"/>
              <w:bottom w:val="single" w:sz="4" w:space="0" w:color="666666"/>
              <w:right w:val="single" w:sz="4" w:space="0" w:color="666666"/>
            </w:tcBorders>
          </w:tcPr>
          <w:p w14:paraId="79A462E8"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7"/>
              </w:rPr>
              <w:t>11 de septiembre de 2026</w:t>
            </w:r>
          </w:p>
        </w:tc>
      </w:tr>
      <w:tr w:rsidR="00242F0F" w:rsidRPr="00AB59AB" w14:paraId="4221C5D9"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0F166B8F" w14:textId="77777777" w:rsidR="00242F0F" w:rsidRPr="00AB59AB" w:rsidRDefault="00000000">
            <w:pPr>
              <w:spacing w:after="0" w:line="240" w:lineRule="auto"/>
              <w:ind w:hanging="2"/>
              <w:rPr>
                <w:rFonts w:asciiTheme="majorHAnsi" w:hAnsiTheme="majorHAnsi" w:cstheme="majorHAnsi"/>
                <w:color w:val="FFFFFF"/>
              </w:rPr>
            </w:pPr>
            <w:r w:rsidRPr="00AB59AB">
              <w:rPr>
                <w:rFonts w:asciiTheme="majorHAnsi" w:hAnsiTheme="majorHAnsi" w:cstheme="majorHAnsi"/>
                <w:color w:val="FFFFFF"/>
                <w:sz w:val="16"/>
              </w:rPr>
              <w:t>Cliente</w:t>
            </w:r>
          </w:p>
        </w:tc>
        <w:tc>
          <w:tcPr>
            <w:tcW w:w="5751" w:type="dxa"/>
            <w:tcBorders>
              <w:top w:val="single" w:sz="4" w:space="0" w:color="666666"/>
              <w:left w:val="single" w:sz="4" w:space="0" w:color="003F6C"/>
              <w:bottom w:val="single" w:sz="4" w:space="0" w:color="666666"/>
              <w:right w:val="single" w:sz="4" w:space="0" w:color="666666"/>
            </w:tcBorders>
          </w:tcPr>
          <w:p w14:paraId="6A29013F"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7"/>
              </w:rPr>
              <w:t>Productores AFC/Locales</w:t>
            </w:r>
          </w:p>
        </w:tc>
      </w:tr>
      <w:tr w:rsidR="00242F0F" w:rsidRPr="00AB59AB" w14:paraId="1002C3C0"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24AFE841" w14:textId="77777777" w:rsidR="00242F0F" w:rsidRPr="00AB59AB" w:rsidRDefault="00000000">
            <w:pPr>
              <w:spacing w:after="0" w:line="240" w:lineRule="auto"/>
              <w:ind w:hanging="2"/>
              <w:rPr>
                <w:rFonts w:asciiTheme="majorHAnsi" w:hAnsiTheme="majorHAnsi" w:cstheme="majorHAnsi"/>
                <w:color w:val="FFFFFF"/>
              </w:rPr>
            </w:pPr>
            <w:r w:rsidRPr="00AB59AB">
              <w:rPr>
                <w:rFonts w:asciiTheme="majorHAnsi" w:hAnsiTheme="majorHAnsi" w:cstheme="majorHAnsi"/>
                <w:color w:val="FFFFFF"/>
                <w:sz w:val="16"/>
              </w:rPr>
              <w:t>Patrocinador principal</w:t>
            </w:r>
          </w:p>
        </w:tc>
        <w:tc>
          <w:tcPr>
            <w:tcW w:w="5751" w:type="dxa"/>
            <w:tcBorders>
              <w:top w:val="single" w:sz="4" w:space="0" w:color="666666"/>
              <w:left w:val="single" w:sz="4" w:space="0" w:color="003F6C"/>
              <w:bottom w:val="single" w:sz="4" w:space="0" w:color="666666"/>
              <w:right w:val="single" w:sz="4" w:space="0" w:color="666666"/>
            </w:tcBorders>
          </w:tcPr>
          <w:p w14:paraId="0B6DD7F7" w14:textId="28B854DC"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7"/>
              </w:rPr>
              <w:t>Patrocinio académico de la asignatura Duoc UC</w:t>
            </w:r>
          </w:p>
        </w:tc>
      </w:tr>
      <w:tr w:rsidR="00242F0F" w:rsidRPr="00AB59AB" w14:paraId="1B9B4781" w14:textId="77777777">
        <w:tc>
          <w:tcPr>
            <w:tcW w:w="3119" w:type="dxa"/>
            <w:tcBorders>
              <w:top w:val="single" w:sz="4" w:space="0" w:color="003F6C"/>
              <w:left w:val="single" w:sz="4" w:space="0" w:color="003F6C"/>
              <w:bottom w:val="single" w:sz="4" w:space="0" w:color="003F6C"/>
              <w:right w:val="single" w:sz="4" w:space="0" w:color="003F6C"/>
            </w:tcBorders>
            <w:shd w:val="clear" w:color="auto" w:fill="005693"/>
          </w:tcPr>
          <w:p w14:paraId="551C45E2" w14:textId="77777777" w:rsidR="00242F0F" w:rsidRPr="00AB59AB" w:rsidRDefault="00000000">
            <w:pPr>
              <w:spacing w:after="0" w:line="240" w:lineRule="auto"/>
              <w:ind w:hanging="2"/>
              <w:rPr>
                <w:rFonts w:asciiTheme="majorHAnsi" w:hAnsiTheme="majorHAnsi" w:cstheme="majorHAnsi"/>
                <w:color w:val="FFFFFF"/>
              </w:rPr>
            </w:pPr>
            <w:r w:rsidRPr="00AB59AB">
              <w:rPr>
                <w:rFonts w:asciiTheme="majorHAnsi" w:hAnsiTheme="majorHAnsi" w:cstheme="majorHAnsi"/>
                <w:color w:val="FFFFFF"/>
                <w:sz w:val="16"/>
              </w:rPr>
              <w:t>Gerente de proyecto</w:t>
            </w:r>
          </w:p>
        </w:tc>
        <w:tc>
          <w:tcPr>
            <w:tcW w:w="5751" w:type="dxa"/>
            <w:tcBorders>
              <w:top w:val="single" w:sz="4" w:space="0" w:color="666666"/>
              <w:left w:val="single" w:sz="4" w:space="0" w:color="003F6C"/>
              <w:bottom w:val="single" w:sz="4" w:space="0" w:color="666666"/>
              <w:right w:val="single" w:sz="4" w:space="0" w:color="666666"/>
            </w:tcBorders>
          </w:tcPr>
          <w:p w14:paraId="38B1E497"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7"/>
              </w:rPr>
              <w:t>Asumimos la dirección del proyecto entre los dos integrantes y repartimos las responsabilidades principales entre backend y frontend. Vicente Rivera (con responsabilidades compartidas con Ignacio Fuenzalida en actividades y entregables) mantiene el rol formal de Jefe de Proyecto y lidera backend; Ignacio Fuenzalida lidera frontend. La arquitectura, las pruebas, la documentación, el control de cambios y la coordinación se mantienen como responsabilidades compartidas.</w:t>
            </w:r>
          </w:p>
        </w:tc>
      </w:tr>
    </w:tbl>
    <w:p w14:paraId="2F12E0C1" w14:textId="77777777" w:rsidR="00242F0F" w:rsidRPr="00AB59AB" w:rsidRDefault="00000000">
      <w:pPr>
        <w:pStyle w:val="Ttulo1"/>
        <w:spacing w:before="280" w:after="280"/>
        <w:ind w:left="1" w:hanging="3"/>
        <w:rPr>
          <w:rFonts w:asciiTheme="majorHAnsi" w:hAnsiTheme="majorHAnsi" w:cstheme="majorHAnsi"/>
          <w:color w:val="005693"/>
        </w:rPr>
      </w:pPr>
      <w:bookmarkStart w:id="2" w:name="_heading=h.1fob9te" w:colFirst="0" w:colLast="0"/>
      <w:bookmarkEnd w:id="2"/>
      <w:r w:rsidRPr="00AB59AB">
        <w:rPr>
          <w:rFonts w:asciiTheme="majorHAnsi" w:hAnsiTheme="majorHAnsi" w:cstheme="majorHAnsi"/>
          <w:b w:val="0"/>
        </w:rPr>
        <w:br/>
      </w:r>
      <w:r w:rsidRPr="00AB59AB">
        <w:rPr>
          <w:rFonts w:asciiTheme="majorHAnsi" w:hAnsiTheme="majorHAnsi" w:cstheme="majorHAnsi"/>
          <w:color w:val="005693"/>
        </w:rPr>
        <w:t>Propósito y justificación del proyecto</w:t>
      </w:r>
    </w:p>
    <w:tbl>
      <w:tblPr>
        <w:tblStyle w:val="ac"/>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AB59AB" w14:paraId="2DC8C19D" w14:textId="77777777">
        <w:tc>
          <w:tcPr>
            <w:tcW w:w="8870" w:type="dxa"/>
            <w:tcBorders>
              <w:top w:val="single" w:sz="4" w:space="0" w:color="666666"/>
              <w:left w:val="single" w:sz="4" w:space="0" w:color="666666"/>
              <w:bottom w:val="single" w:sz="4" w:space="0" w:color="666666"/>
              <w:right w:val="single" w:sz="4" w:space="0" w:color="666666"/>
            </w:tcBorders>
          </w:tcPr>
          <w:p w14:paraId="02450B22"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7"/>
              </w:rPr>
              <w:t>Desarrollamos CuTuCo para responder a la brecha tecnológica que tienen pequeños y medianos productores locales para vender por internet y a la intermediación comercial que reduce su margen. Nuestra propuesta es un Marketplace SaaS B2B2C de comercio de proximidad que conecta de manera directa a productores con compradores y comercios locales, sin exigir que cada productor mantenga una tienda digital independiente.</w:t>
            </w:r>
            <w:r w:rsidRPr="00AB59AB">
              <w:rPr>
                <w:rFonts w:asciiTheme="majorHAnsi" w:hAnsiTheme="majorHAnsi" w:cstheme="majorHAnsi"/>
                <w:sz w:val="17"/>
              </w:rPr>
              <w:br/>
            </w:r>
            <w:r w:rsidRPr="00AB59AB">
              <w:rPr>
                <w:rFonts w:asciiTheme="majorHAnsi" w:hAnsiTheme="majorHAnsi" w:cstheme="majorHAnsi"/>
                <w:sz w:val="17"/>
              </w:rPr>
              <w:br/>
              <w:t>Partimos de un MVP funcional desarrollado con Ionic 8, Angular 18 y SQLite. En este proyecto nosotros realizaremos su reingeniería hacia una solución web responsive y con una arquitectura más desacoplada, aprovechando Supabase para autenticación y persistencia, Vue.js + Vite para el frontend y los servicios de backend que realmente sean necesarios para las reglas de negocio e integraciones.</w:t>
            </w:r>
            <w:r w:rsidRPr="00AB59AB">
              <w:rPr>
                <w:rFonts w:asciiTheme="majorHAnsi" w:hAnsiTheme="majorHAnsi" w:cstheme="majorHAnsi"/>
                <w:sz w:val="17"/>
              </w:rPr>
              <w:br/>
            </w:r>
            <w:r w:rsidRPr="00AB59AB">
              <w:rPr>
                <w:rFonts w:asciiTheme="majorHAnsi" w:hAnsiTheme="majorHAnsi" w:cstheme="majorHAnsi"/>
                <w:sz w:val="17"/>
              </w:rPr>
              <w:br/>
              <w:t>La actualización final de requerimientos también nos llevó a simplificar el alcance. Nosotros descartamos la geolocalización activa y la restricción comunal, dejando solo la validación por región; descartamos el historial de precios, el umbral automático de stock y las fotografías obligatorias. En su lugar, incorporamos un código de verificación al momento de la entrega, una calificación simple de 1 a 5 con promedio, una gestión de reclamos y una gestión manual de sanciones y apelaciones desde el panel administrativo. También ajustamos el flujo de pagos: adoptamos Webpay Mall (Split Payment) de Transbank, de modo que la pasarela captura y dispersa el pago en tiempo real y Transbank deposita directo en la cuenta bancaria del comercio. Incorporamos además el registro del Código de Comercio Mall en el panel de administración, como trámite posterior e independiente de la aprobación de la postulación.</w:t>
            </w:r>
            <w:r w:rsidRPr="00AB59AB">
              <w:rPr>
                <w:rFonts w:asciiTheme="majorHAnsi" w:hAnsiTheme="majorHAnsi" w:cstheme="majorHAnsi"/>
                <w:sz w:val="17"/>
              </w:rPr>
              <w:br/>
            </w:r>
            <w:r w:rsidRPr="00AB59AB">
              <w:rPr>
                <w:rFonts w:asciiTheme="majorHAnsi" w:hAnsiTheme="majorHAnsi" w:cstheme="majorHAnsi"/>
                <w:sz w:val="17"/>
              </w:rPr>
              <w:br/>
              <w:t>Nuestra justificación también es académica: nosotros aplicaremos planificación, análisis, diseño, construcción, pruebas, implementación, control de cambios y documentación en un sistema donde las decisiones técnicas afectan directamente los flujos de compra, venta, entrega, pagos y administración.</w:t>
            </w:r>
          </w:p>
        </w:tc>
      </w:tr>
    </w:tbl>
    <w:p w14:paraId="09B8689A" w14:textId="77777777" w:rsidR="00242F0F" w:rsidRPr="00AB59AB" w:rsidRDefault="00000000">
      <w:pPr>
        <w:pStyle w:val="Ttulo1"/>
        <w:spacing w:before="280" w:after="280"/>
        <w:ind w:left="1" w:hanging="3"/>
        <w:rPr>
          <w:rFonts w:asciiTheme="majorHAnsi" w:hAnsiTheme="majorHAnsi" w:cstheme="majorHAnsi"/>
          <w:color w:val="005693"/>
        </w:rPr>
      </w:pPr>
      <w:bookmarkStart w:id="3" w:name="_heading=h.3znysh7" w:colFirst="0" w:colLast="0"/>
      <w:bookmarkEnd w:id="3"/>
      <w:r w:rsidRPr="00AB59AB">
        <w:rPr>
          <w:rFonts w:asciiTheme="majorHAnsi" w:hAnsiTheme="majorHAnsi" w:cstheme="majorHAnsi"/>
          <w:b w:val="0"/>
        </w:rPr>
        <w:br/>
      </w:r>
      <w:r w:rsidRPr="00AB59AB">
        <w:rPr>
          <w:rFonts w:asciiTheme="majorHAnsi" w:hAnsiTheme="majorHAnsi" w:cstheme="majorHAnsi"/>
          <w:color w:val="005693"/>
        </w:rPr>
        <w:t>Descripción del proyecto y entregables</w:t>
      </w:r>
    </w:p>
    <w:tbl>
      <w:tblPr>
        <w:tblStyle w:val="ad"/>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AB59AB" w14:paraId="2412C119" w14:textId="77777777">
        <w:tc>
          <w:tcPr>
            <w:tcW w:w="8870" w:type="dxa"/>
            <w:tcBorders>
              <w:top w:val="single" w:sz="4" w:space="0" w:color="666666"/>
              <w:left w:val="single" w:sz="4" w:space="0" w:color="666666"/>
              <w:bottom w:val="single" w:sz="4" w:space="0" w:color="666666"/>
              <w:right w:val="single" w:sz="4" w:space="0" w:color="666666"/>
            </w:tcBorders>
          </w:tcPr>
          <w:p w14:paraId="029187C8"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 xml:space="preserve">Implementaremos la evolución de CuTuCo desde el prototipo móvil local hacia una plataforma web responsive. El frontend se desarrollará con Vue.js + Vite y se desplegará en Vercel. La persistencia se migrará a PostgreSQL en Supabase y utilizaremos Supabase Auth (GoTrue) para el registro, el inicio de sesión, el refresh de la sesión, la recuperación y la verificación de cuentas. Para las consultas simples y el CRUD utilizaremos PostgREST directamente desde el frontend, y dejaremos FastAPI acotado </w:t>
            </w:r>
            <w:r w:rsidRPr="00AB59AB">
              <w:rPr>
                <w:rFonts w:asciiTheme="majorHAnsi" w:hAnsiTheme="majorHAnsi" w:cstheme="majorHAnsi"/>
                <w:sz w:val="16"/>
              </w:rPr>
              <w:lastRenderedPageBreak/>
              <w:t>exclusivamente a la lógica específica que requiera la integración con Webpay (Transbank).</w:t>
            </w:r>
            <w:r w:rsidRPr="00AB59AB">
              <w:rPr>
                <w:rFonts w:asciiTheme="majorHAnsi" w:hAnsiTheme="majorHAnsi" w:cstheme="majorHAnsi"/>
                <w:sz w:val="16"/>
              </w:rPr>
              <w:br/>
            </w:r>
            <w:r w:rsidRPr="00AB59AB">
              <w:rPr>
                <w:rFonts w:asciiTheme="majorHAnsi" w:hAnsiTheme="majorHAnsi" w:cstheme="majorHAnsi"/>
                <w:sz w:val="16"/>
              </w:rPr>
              <w:br/>
              <w:t>El alcance final incluye registro de Cliente y Vendedor, aprobación de la postulación del productor con verificación documental KYB (cédula o E-RUT, Certificado de Inicio de Actividades del SII, certificado de titularidad bancaria y comprobante de domicilio o predio) e ingreso del Código de Comercio Mall, perfiles y permisos, navegación pública sin login hasta el checkout, catálogo, carrito, compras, gestión de productos y stock, restricciones de compra por región, delivery con estados Preparación -&gt; En Tránsito -&gt; Entregado y código de verificación, Webpay Mall (Split Payment) de Transbank, que captura y dispersa el pago en tiempo real y deposita directo en la cuenta bancaria del comercio, calificaciones de 1 a 5, gestión de reclamos, sanciones y apelaciones, y validación automática de palabras prohibidas. La aprobación de la postulación y el registro del Código de Comercio Mall son dos procesos distintos: el Administrador aprueba o rechaza la postulación revisando la documentación KYB, y el registro del Código de Comercio Mall se completa cuando finaliza el trámite correspondiente con Transbank, de forma posterior e independiente. Mientras un productor no tenga su código de comercio registrado no puede operar, por lo que las consultas de visualización del frontend excluyen a los productores y a los productos que no puedan operar por ese motivo. La tramitación legal y administrativa para habilitar la cuenta de Transbank queda fuera del flujo principal de la plataforma; los datos que envían los postulantes se protegen mediante controles de acceso, RLS, policies, grants y los permisos de almacenamiento correspondientes para los documentos de postulación.</w:t>
            </w:r>
            <w:r w:rsidRPr="00AB59AB">
              <w:rPr>
                <w:rFonts w:asciiTheme="majorHAnsi" w:hAnsiTheme="majorHAnsi" w:cstheme="majorHAnsi"/>
                <w:sz w:val="16"/>
              </w:rPr>
              <w:br/>
            </w:r>
            <w:r w:rsidRPr="00AB59AB">
              <w:rPr>
                <w:rFonts w:asciiTheme="majorHAnsi" w:hAnsiTheme="majorHAnsi" w:cstheme="majorHAnsi"/>
                <w:sz w:val="16"/>
              </w:rPr>
              <w:br/>
              <w:t>También nosotros incorporaremos comunicaciones por correo. Supabase Auth utilizará el SMTP de Resend para los correos de bienvenida, verificación de cuenta y recuperación de contraseña, mientras que las notificaciones propias del negocio se gestionarán mediante la API de Resend: el detalle de la compra al comprador y el aviso de nuevo pedido al vendedor. La administración mantendrá el listado de usuarios, la visualización de su detalle y la activación o desactivación de cuentas de clientes, junto con la validación automática de palabras prohibidas mediante triggers de PostgreSQL, incluida la lógica BEFORE INSERT existente. No incluiremos como alcance del MVP la geolocalización GPS, el historial de precios, las alertas automáticas por umbral de stock, las fotografías obligatorias, la reputación algorítmica, el tracking con mapa en tiempo real ni Redis de Upstash, porque el informe actualizado los deja fuera o los considera sobreingeniería para esta etapa.</w:t>
            </w:r>
            <w:r w:rsidRPr="00AB59AB">
              <w:rPr>
                <w:rFonts w:asciiTheme="majorHAnsi" w:hAnsiTheme="majorHAnsi" w:cstheme="majorHAnsi"/>
                <w:sz w:val="16"/>
              </w:rPr>
              <w:br/>
            </w:r>
            <w:r w:rsidRPr="00AB59AB">
              <w:rPr>
                <w:rFonts w:asciiTheme="majorHAnsi" w:hAnsiTheme="majorHAnsi" w:cstheme="majorHAnsi"/>
                <w:sz w:val="16"/>
              </w:rPr>
              <w:br/>
              <w:t>Para administrar el proyecto nosotros entregaremos, por fases, el Acta de Constitución; EDT; Hitos de Desarrollo y Diccionario; Carta Gantt; RACI; Matriz de Riesgos; Plan de Pruebas Inicial; ERS; modelos de datos y arquitectura; mockups; Plan de Calidad y de Costos; código fuente y documentación interna; base de datos y scripts de creación; minuta de control de programación; verificación de alcances; Plan de Pruebas Final y Reporte de Estatus Final; Plan de Implantación, Soporte y Mantenimiento; y Manuales de Usuario y Administrador.</w:t>
            </w:r>
          </w:p>
        </w:tc>
      </w:tr>
    </w:tbl>
    <w:p w14:paraId="7E86B3D2" w14:textId="77777777" w:rsidR="00242F0F" w:rsidRPr="00AB59AB" w:rsidRDefault="00242F0F">
      <w:pPr>
        <w:pStyle w:val="Ttulo1"/>
        <w:spacing w:before="280" w:after="280"/>
        <w:ind w:left="1" w:hanging="3"/>
        <w:rPr>
          <w:rFonts w:asciiTheme="majorHAnsi" w:hAnsiTheme="majorHAnsi" w:cstheme="majorHAnsi"/>
          <w:b w:val="0"/>
        </w:rPr>
      </w:pPr>
      <w:bookmarkStart w:id="4" w:name="_heading=h.2et92p0" w:colFirst="0" w:colLast="0"/>
      <w:bookmarkEnd w:id="4"/>
    </w:p>
    <w:p w14:paraId="10AD8B09" w14:textId="77777777" w:rsidR="00242F0F" w:rsidRPr="00AB59AB" w:rsidRDefault="00242F0F">
      <w:pPr>
        <w:pStyle w:val="Ttulo1"/>
        <w:spacing w:before="280" w:after="280"/>
        <w:ind w:left="1" w:hanging="3"/>
        <w:rPr>
          <w:rFonts w:asciiTheme="majorHAnsi" w:hAnsiTheme="majorHAnsi" w:cstheme="majorHAnsi"/>
          <w:b w:val="0"/>
        </w:rPr>
      </w:pPr>
      <w:bookmarkStart w:id="5" w:name="_heading=h.gxpomrv7dvk2" w:colFirst="0" w:colLast="0"/>
      <w:bookmarkEnd w:id="5"/>
    </w:p>
    <w:p w14:paraId="6CBB829A" w14:textId="77777777" w:rsidR="00242F0F" w:rsidRPr="00AB59AB" w:rsidRDefault="00242F0F">
      <w:pPr>
        <w:pStyle w:val="Ttulo1"/>
        <w:spacing w:before="280" w:after="280"/>
        <w:ind w:left="1" w:hanging="3"/>
        <w:rPr>
          <w:rFonts w:asciiTheme="majorHAnsi" w:hAnsiTheme="majorHAnsi" w:cstheme="majorHAnsi"/>
          <w:b w:val="0"/>
        </w:rPr>
      </w:pPr>
      <w:bookmarkStart w:id="6" w:name="_heading=h.xj5ndbm79baz" w:colFirst="0" w:colLast="0"/>
      <w:bookmarkEnd w:id="6"/>
    </w:p>
    <w:p w14:paraId="708E3FD5" w14:textId="77777777" w:rsidR="00242F0F" w:rsidRPr="00AB59AB" w:rsidRDefault="00242F0F">
      <w:pPr>
        <w:pStyle w:val="Ttulo1"/>
        <w:spacing w:before="280" w:after="280"/>
        <w:ind w:left="1" w:hanging="3"/>
        <w:rPr>
          <w:rFonts w:asciiTheme="majorHAnsi" w:hAnsiTheme="majorHAnsi" w:cstheme="majorHAnsi"/>
          <w:b w:val="0"/>
        </w:rPr>
      </w:pPr>
      <w:bookmarkStart w:id="7" w:name="_heading=h.owzsqkl4hf2t" w:colFirst="0" w:colLast="0"/>
      <w:bookmarkEnd w:id="7"/>
    </w:p>
    <w:p w14:paraId="1C33D22E" w14:textId="77777777" w:rsidR="00242F0F" w:rsidRPr="00AB59AB" w:rsidRDefault="00242F0F">
      <w:pPr>
        <w:pStyle w:val="Ttulo1"/>
        <w:spacing w:before="280" w:after="280"/>
        <w:ind w:left="1" w:hanging="3"/>
        <w:rPr>
          <w:rFonts w:asciiTheme="majorHAnsi" w:hAnsiTheme="majorHAnsi" w:cstheme="majorHAnsi"/>
          <w:b w:val="0"/>
        </w:rPr>
      </w:pPr>
      <w:bookmarkStart w:id="8" w:name="_heading=h.ir6omt183i2j" w:colFirst="0" w:colLast="0"/>
      <w:bookmarkEnd w:id="8"/>
    </w:p>
    <w:p w14:paraId="0B12F5AC" w14:textId="77777777" w:rsidR="00242F0F" w:rsidRPr="00AB59AB" w:rsidRDefault="00000000">
      <w:pPr>
        <w:pStyle w:val="Ttulo1"/>
        <w:spacing w:before="280" w:after="280"/>
        <w:ind w:left="1" w:hanging="3"/>
        <w:rPr>
          <w:rFonts w:asciiTheme="majorHAnsi" w:hAnsiTheme="majorHAnsi" w:cstheme="majorHAnsi"/>
          <w:color w:val="005693"/>
        </w:rPr>
      </w:pPr>
      <w:bookmarkStart w:id="9" w:name="_heading=h.u2xnwir3ottz" w:colFirst="0" w:colLast="0"/>
      <w:bookmarkEnd w:id="9"/>
      <w:r w:rsidRPr="00AB59AB">
        <w:rPr>
          <w:rFonts w:asciiTheme="majorHAnsi" w:hAnsiTheme="majorHAnsi" w:cstheme="majorHAnsi"/>
          <w:color w:val="005693"/>
        </w:rPr>
        <w:t>Objetivos</w:t>
      </w:r>
    </w:p>
    <w:tbl>
      <w:tblPr>
        <w:tblStyle w:val="ae"/>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12"/>
        <w:gridCol w:w="3058"/>
      </w:tblGrid>
      <w:tr w:rsidR="00242F0F" w:rsidRPr="00AB59AB" w14:paraId="55529B55" w14:textId="77777777">
        <w:trPr>
          <w:trHeight w:val="223"/>
        </w:trPr>
        <w:tc>
          <w:tcPr>
            <w:tcW w:w="5812" w:type="dxa"/>
            <w:tcBorders>
              <w:top w:val="single" w:sz="4" w:space="0" w:color="003F6C"/>
              <w:left w:val="single" w:sz="4" w:space="0" w:color="003F6C"/>
              <w:bottom w:val="single" w:sz="4" w:space="0" w:color="005693"/>
              <w:right w:val="single" w:sz="4" w:space="0" w:color="003F6C"/>
            </w:tcBorders>
            <w:shd w:val="clear" w:color="auto" w:fill="003F6C"/>
          </w:tcPr>
          <w:p w14:paraId="71677B7B" w14:textId="77777777" w:rsidR="00242F0F" w:rsidRPr="00AB59A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Objetivo</w:t>
            </w:r>
          </w:p>
        </w:tc>
        <w:tc>
          <w:tcPr>
            <w:tcW w:w="3058" w:type="dxa"/>
            <w:tcBorders>
              <w:top w:val="single" w:sz="4" w:space="0" w:color="003F6C"/>
              <w:left w:val="single" w:sz="4" w:space="0" w:color="003F6C"/>
              <w:bottom w:val="single" w:sz="4" w:space="0" w:color="005693"/>
              <w:right w:val="single" w:sz="4" w:space="0" w:color="003F6C"/>
            </w:tcBorders>
            <w:shd w:val="clear" w:color="auto" w:fill="003F6C"/>
          </w:tcPr>
          <w:p w14:paraId="29F92023" w14:textId="77777777" w:rsidR="00242F0F" w:rsidRPr="00AB59A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Indicador de éxito</w:t>
            </w:r>
          </w:p>
        </w:tc>
      </w:tr>
      <w:tr w:rsidR="00242F0F" w:rsidRPr="00AB59AB" w14:paraId="5EB4F901"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5D1DE3B2" w14:textId="77777777" w:rsidR="00242F0F" w:rsidRPr="00AB59A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AB59AB">
              <w:rPr>
                <w:rFonts w:asciiTheme="majorHAnsi" w:hAnsiTheme="majorHAnsi" w:cstheme="majorHAnsi"/>
                <w:b/>
                <w:color w:val="FFFFFF"/>
                <w:sz w:val="16"/>
              </w:rPr>
              <w:t>Alcance</w:t>
            </w:r>
          </w:p>
        </w:tc>
      </w:tr>
      <w:tr w:rsidR="00242F0F" w:rsidRPr="00AB59AB" w14:paraId="4D332AF4" w14:textId="77777777">
        <w:tc>
          <w:tcPr>
            <w:tcW w:w="5812" w:type="dxa"/>
            <w:tcBorders>
              <w:top w:val="single" w:sz="4" w:space="0" w:color="005693"/>
              <w:left w:val="single" w:sz="4" w:space="0" w:color="666666"/>
              <w:bottom w:val="single" w:sz="4" w:space="0" w:color="666666"/>
              <w:right w:val="single" w:sz="4" w:space="0" w:color="666666"/>
            </w:tcBorders>
          </w:tcPr>
          <w:p w14:paraId="5FC1974B"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Implementaremos una plataforma Marketplace web funcional a partir del MVP existente, migrando la interfaz a Vue.js + Vite y la persistencia a PostgreSQL en Supabase, utilizando Supabase Auth y PostgREST para las consultas simples y el CRUD, y manteniendo FastAPI solo para la lógica específica de la integración con Webpay.</w:t>
            </w:r>
          </w:p>
        </w:tc>
        <w:tc>
          <w:tcPr>
            <w:tcW w:w="3058" w:type="dxa"/>
            <w:tcBorders>
              <w:top w:val="single" w:sz="4" w:space="0" w:color="005693"/>
              <w:left w:val="single" w:sz="4" w:space="0" w:color="666666"/>
              <w:bottom w:val="single" w:sz="4" w:space="0" w:color="666666"/>
              <w:right w:val="single" w:sz="4" w:space="0" w:color="666666"/>
            </w:tcBorders>
          </w:tcPr>
          <w:p w14:paraId="20D602B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Podremos ejecutar los módulos principales con persistencia remota y comunicación entre las capas definidas, sin depender de datos locales del dispositivo.</w:t>
            </w:r>
          </w:p>
        </w:tc>
      </w:tr>
      <w:tr w:rsidR="00242F0F" w:rsidRPr="00AB59AB" w14:paraId="20A09094" w14:textId="77777777">
        <w:tc>
          <w:tcPr>
            <w:tcW w:w="5812" w:type="dxa"/>
            <w:tcBorders>
              <w:top w:val="single" w:sz="4" w:space="0" w:color="666666"/>
              <w:left w:val="single" w:sz="4" w:space="0" w:color="666666"/>
              <w:bottom w:val="single" w:sz="4" w:space="0" w:color="666666"/>
              <w:right w:val="single" w:sz="4" w:space="0" w:color="666666"/>
            </w:tcBorders>
          </w:tcPr>
          <w:p w14:paraId="3F03B1E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Incorporaremos los flujos finales de compra, venta y administración: registro y aprobación de productores, perfiles, catálogo, carrito, compra, restricción por región, Webpay Mall (Split Payment) con dispersión directa por pasarela, delivery con código de verificación, calificación de 1 a 5, gestión de reclamos, sanciones y apelaciones, validación automática de palabras prohibidas y correos de negocio.</w:t>
            </w:r>
          </w:p>
        </w:tc>
        <w:tc>
          <w:tcPr>
            <w:tcW w:w="3058" w:type="dxa"/>
            <w:tcBorders>
              <w:top w:val="single" w:sz="4" w:space="0" w:color="666666"/>
              <w:left w:val="single" w:sz="4" w:space="0" w:color="666666"/>
              <w:bottom w:val="single" w:sz="4" w:space="0" w:color="666666"/>
              <w:right w:val="single" w:sz="4" w:space="0" w:color="666666"/>
            </w:tcBorders>
          </w:tcPr>
          <w:p w14:paraId="0BCBB30C"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Podremos recorrer los flujos críticos de principio a fin y cada regla incluida tendrá una prueba o evidencia que permita comprobar su resultado.</w:t>
            </w:r>
          </w:p>
        </w:tc>
      </w:tr>
      <w:tr w:rsidR="00242F0F" w:rsidRPr="00AB59AB" w14:paraId="39C9C824" w14:textId="77777777">
        <w:tc>
          <w:tcPr>
            <w:tcW w:w="5812" w:type="dxa"/>
            <w:tcBorders>
              <w:top w:val="single" w:sz="4" w:space="0" w:color="666666"/>
              <w:left w:val="single" w:sz="4" w:space="0" w:color="666666"/>
              <w:bottom w:val="single" w:sz="4" w:space="0" w:color="005693"/>
              <w:right w:val="single" w:sz="4" w:space="0" w:color="666666"/>
            </w:tcBorders>
          </w:tcPr>
          <w:p w14:paraId="4AD7409A"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lastRenderedPageBreak/>
              <w:t>Mantendremos el alcance controlado durante las 13 semanas y documentaremos cualquier cambio antes de incorporarlo.</w:t>
            </w:r>
          </w:p>
        </w:tc>
        <w:tc>
          <w:tcPr>
            <w:tcW w:w="3058" w:type="dxa"/>
            <w:tcBorders>
              <w:top w:val="single" w:sz="4" w:space="0" w:color="666666"/>
              <w:left w:val="single" w:sz="4" w:space="0" w:color="666666"/>
              <w:bottom w:val="single" w:sz="4" w:space="0" w:color="005693"/>
              <w:right w:val="single" w:sz="4" w:space="0" w:color="666666"/>
            </w:tcBorders>
          </w:tcPr>
          <w:p w14:paraId="3ED62EAF"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Registraremos avances, bloqueos, riesgos y decisiones cada semana, y evaluaremos cualquier solicitud nueva por su impacto en tiempo, dependencias, pruebas, riesgo y valor para el usuario.</w:t>
            </w:r>
          </w:p>
        </w:tc>
      </w:tr>
      <w:tr w:rsidR="00242F0F" w:rsidRPr="00AB59AB" w14:paraId="345FEAF6"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0D0FDB62" w14:textId="77777777" w:rsidR="00242F0F" w:rsidRPr="00AB59A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AB59AB">
              <w:rPr>
                <w:rFonts w:asciiTheme="majorHAnsi" w:hAnsiTheme="majorHAnsi" w:cstheme="majorHAnsi"/>
                <w:b/>
                <w:color w:val="FFFFFF"/>
                <w:sz w:val="16"/>
              </w:rPr>
              <w:t>Cronograma (Tiempo)</w:t>
            </w:r>
          </w:p>
        </w:tc>
      </w:tr>
      <w:tr w:rsidR="00242F0F" w:rsidRPr="00AB59AB" w14:paraId="0E56D2BB" w14:textId="77777777">
        <w:tc>
          <w:tcPr>
            <w:tcW w:w="5812" w:type="dxa"/>
            <w:tcBorders>
              <w:top w:val="single" w:sz="4" w:space="0" w:color="005693"/>
              <w:left w:val="single" w:sz="4" w:space="0" w:color="666666"/>
              <w:bottom w:val="single" w:sz="4" w:space="0" w:color="666666"/>
              <w:right w:val="single" w:sz="4" w:space="0" w:color="666666"/>
            </w:tcBorders>
          </w:tcPr>
          <w:p w14:paraId="5EC5A73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Comenzaremos el proyecto en la Semana 1, el 11 de septiembre, terminaremos la fase de desarrollo en la Semana 11 y reservaremos las Semanas 12 y 13 para preparación, validación final y entrega.</w:t>
            </w:r>
          </w:p>
        </w:tc>
        <w:tc>
          <w:tcPr>
            <w:tcW w:w="3058" w:type="dxa"/>
            <w:tcBorders>
              <w:top w:val="single" w:sz="4" w:space="0" w:color="005693"/>
              <w:left w:val="single" w:sz="4" w:space="0" w:color="666666"/>
              <w:bottom w:val="single" w:sz="4" w:space="0" w:color="666666"/>
              <w:right w:val="single" w:sz="4" w:space="0" w:color="666666"/>
            </w:tcBorders>
          </w:tcPr>
          <w:p w14:paraId="5FAD16F6"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Cerraremos la construcción e integración al terminar la Semana 11 y utilizaremos las dos semanas finales para regresión, correcciones, consolidación documental y entrega.</w:t>
            </w:r>
          </w:p>
        </w:tc>
      </w:tr>
      <w:tr w:rsidR="00242F0F" w:rsidRPr="00AB59AB" w14:paraId="45929D86" w14:textId="77777777">
        <w:tc>
          <w:tcPr>
            <w:tcW w:w="5812" w:type="dxa"/>
            <w:tcBorders>
              <w:top w:val="single" w:sz="4" w:space="0" w:color="666666"/>
              <w:left w:val="single" w:sz="4" w:space="0" w:color="666666"/>
              <w:bottom w:val="single" w:sz="4" w:space="0" w:color="666666"/>
              <w:right w:val="single" w:sz="4" w:space="0" w:color="666666"/>
            </w:tcBorders>
          </w:tcPr>
          <w:p w14:paraId="33DF10F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Organizaremos el trabajo en cuatro fases: Planificación Inicial; Análisis y Diseño; Construcción; Implementación y Cierre.</w:t>
            </w:r>
          </w:p>
        </w:tc>
        <w:tc>
          <w:tcPr>
            <w:tcW w:w="3058" w:type="dxa"/>
            <w:tcBorders>
              <w:top w:val="single" w:sz="4" w:space="0" w:color="666666"/>
              <w:left w:val="single" w:sz="4" w:space="0" w:color="666666"/>
              <w:bottom w:val="single" w:sz="4" w:space="0" w:color="666666"/>
              <w:right w:val="single" w:sz="4" w:space="0" w:color="666666"/>
            </w:tcBorders>
          </w:tcPr>
          <w:p w14:paraId="0F9AED6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Cada fase tendrá sus entregables definidos y evidencia de ejecución, manteniendo trazabilidad entre los documentos y el producto final.</w:t>
            </w:r>
          </w:p>
        </w:tc>
      </w:tr>
      <w:tr w:rsidR="00242F0F" w:rsidRPr="00AB59AB" w14:paraId="53FE8747" w14:textId="77777777">
        <w:tc>
          <w:tcPr>
            <w:tcW w:w="5812" w:type="dxa"/>
            <w:tcBorders>
              <w:top w:val="single" w:sz="4" w:space="0" w:color="666666"/>
              <w:left w:val="single" w:sz="4" w:space="0" w:color="666666"/>
              <w:bottom w:val="single" w:sz="4" w:space="0" w:color="005693"/>
              <w:right w:val="single" w:sz="4" w:space="0" w:color="666666"/>
            </w:tcBorders>
          </w:tcPr>
          <w:p w14:paraId="24B2095B"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Realizaremos una revisión semanal del estado del proyecto.</w:t>
            </w:r>
          </w:p>
        </w:tc>
        <w:tc>
          <w:tcPr>
            <w:tcW w:w="3058" w:type="dxa"/>
            <w:tcBorders>
              <w:top w:val="single" w:sz="4" w:space="0" w:color="666666"/>
              <w:left w:val="single" w:sz="4" w:space="0" w:color="666666"/>
              <w:bottom w:val="single" w:sz="4" w:space="0" w:color="005693"/>
              <w:right w:val="single" w:sz="4" w:space="0" w:color="666666"/>
            </w:tcBorders>
          </w:tcPr>
          <w:p w14:paraId="5D1D9C35"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Cada semana dejaremos registrada la situación del alcance, avances, bloqueos, riesgos, decisiones y pendientes que puedan afectar la entrega.</w:t>
            </w:r>
          </w:p>
        </w:tc>
      </w:tr>
      <w:tr w:rsidR="00242F0F" w:rsidRPr="00AB59AB" w14:paraId="04DE1F1B"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66988974" w14:textId="77777777" w:rsidR="00242F0F" w:rsidRPr="00AB59A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AB59AB">
              <w:rPr>
                <w:rFonts w:asciiTheme="majorHAnsi" w:hAnsiTheme="majorHAnsi" w:cstheme="majorHAnsi"/>
                <w:b/>
                <w:color w:val="FFFFFF"/>
                <w:sz w:val="16"/>
              </w:rPr>
              <w:t>Costo</w:t>
            </w:r>
          </w:p>
        </w:tc>
      </w:tr>
      <w:tr w:rsidR="00242F0F" w:rsidRPr="00AB59AB" w14:paraId="1FFE4A04" w14:textId="77777777">
        <w:tc>
          <w:tcPr>
            <w:tcW w:w="5812" w:type="dxa"/>
            <w:tcBorders>
              <w:top w:val="single" w:sz="4" w:space="0" w:color="005693"/>
              <w:left w:val="single" w:sz="4" w:space="0" w:color="666666"/>
              <w:bottom w:val="single" w:sz="4" w:space="0" w:color="666666"/>
              <w:right w:val="single" w:sz="4" w:space="0" w:color="666666"/>
            </w:tcBorders>
          </w:tcPr>
          <w:p w14:paraId="585BFADE"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Priorizaremos una infraestructura de bajo costo para el MVP académico, utilizando los niveles gratuitos disponibles y los créditos de GCP para los componentes que lo requieran.</w:t>
            </w:r>
          </w:p>
        </w:tc>
        <w:tc>
          <w:tcPr>
            <w:tcW w:w="3058" w:type="dxa"/>
            <w:tcBorders>
              <w:top w:val="single" w:sz="4" w:space="0" w:color="005693"/>
              <w:left w:val="single" w:sz="4" w:space="0" w:color="666666"/>
              <w:bottom w:val="single" w:sz="4" w:space="0" w:color="666666"/>
              <w:right w:val="single" w:sz="4" w:space="0" w:color="666666"/>
            </w:tcBorders>
          </w:tcPr>
          <w:p w14:paraId="5BB3E8FE"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La Opción A mantendrá el costo operativo del MVP en el orden estimado de USD 12 al año por dominio, considerando que los servicios gratuitos y créditos disponibles cubren el resto de la infraestructura académica.</w:t>
            </w:r>
          </w:p>
        </w:tc>
      </w:tr>
      <w:tr w:rsidR="00242F0F" w:rsidRPr="00AB59AB" w14:paraId="5349CED9" w14:textId="77777777">
        <w:tc>
          <w:tcPr>
            <w:tcW w:w="5812" w:type="dxa"/>
            <w:tcBorders>
              <w:top w:val="single" w:sz="4" w:space="0" w:color="666666"/>
              <w:left w:val="single" w:sz="4" w:space="0" w:color="666666"/>
              <w:bottom w:val="single" w:sz="4" w:space="0" w:color="666666"/>
              <w:right w:val="single" w:sz="4" w:space="0" w:color="666666"/>
            </w:tcBorders>
          </w:tcPr>
          <w:p w14:paraId="796A4AF3"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Dejaremos documentada una proyección de infraestructura para una etapa productiva y de continuidad del sistema.</w:t>
            </w:r>
          </w:p>
        </w:tc>
        <w:tc>
          <w:tcPr>
            <w:tcW w:w="3058" w:type="dxa"/>
            <w:tcBorders>
              <w:top w:val="single" w:sz="4" w:space="0" w:color="666666"/>
              <w:left w:val="single" w:sz="4" w:space="0" w:color="666666"/>
              <w:bottom w:val="single" w:sz="4" w:space="0" w:color="666666"/>
              <w:right w:val="single" w:sz="4" w:space="0" w:color="666666"/>
            </w:tcBorders>
          </w:tcPr>
          <w:p w14:paraId="7DCA41C3"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La Opción B quedará como referencia presupuestaria, con un costo estimado de USD 100 a 120 mensuales más comisiones de transacción, sin tratarlo como gasto comprometido del MVP.</w:t>
            </w:r>
          </w:p>
        </w:tc>
      </w:tr>
      <w:tr w:rsidR="00242F0F" w:rsidRPr="00AB59AB" w14:paraId="4690583D" w14:textId="77777777">
        <w:tc>
          <w:tcPr>
            <w:tcW w:w="5812" w:type="dxa"/>
            <w:tcBorders>
              <w:top w:val="single" w:sz="4" w:space="0" w:color="666666"/>
              <w:left w:val="single" w:sz="4" w:space="0" w:color="666666"/>
              <w:bottom w:val="single" w:sz="4" w:space="0" w:color="005693"/>
              <w:right w:val="single" w:sz="4" w:space="0" w:color="666666"/>
            </w:tcBorders>
          </w:tcPr>
          <w:p w14:paraId="51914228"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Controlaremos cualquier variación de costo antes de incorporar servicios que aumenten el gasto.</w:t>
            </w:r>
          </w:p>
        </w:tc>
        <w:tc>
          <w:tcPr>
            <w:tcW w:w="3058" w:type="dxa"/>
            <w:tcBorders>
              <w:top w:val="single" w:sz="4" w:space="0" w:color="666666"/>
              <w:left w:val="single" w:sz="4" w:space="0" w:color="666666"/>
              <w:bottom w:val="single" w:sz="4" w:space="0" w:color="005693"/>
              <w:right w:val="single" w:sz="4" w:space="0" w:color="666666"/>
            </w:tcBorders>
          </w:tcPr>
          <w:p w14:paraId="4CA3E4E1"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Las decisiones con impacto económico se revisarán entre nosotros y no comprometemos infraestructura productiva fuera del presupuesto definido.</w:t>
            </w:r>
          </w:p>
        </w:tc>
      </w:tr>
      <w:tr w:rsidR="00242F0F" w:rsidRPr="00AB59AB" w14:paraId="58A8F18A"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2A960776" w14:textId="77777777" w:rsidR="00242F0F" w:rsidRPr="00AB59A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AB59AB">
              <w:rPr>
                <w:rFonts w:asciiTheme="majorHAnsi" w:hAnsiTheme="majorHAnsi" w:cstheme="majorHAnsi"/>
                <w:b/>
                <w:color w:val="FFFFFF"/>
                <w:sz w:val="16"/>
              </w:rPr>
              <w:t>Calidad</w:t>
            </w:r>
          </w:p>
        </w:tc>
      </w:tr>
      <w:tr w:rsidR="00242F0F" w:rsidRPr="00AB59AB" w14:paraId="032029AE" w14:textId="77777777">
        <w:tc>
          <w:tcPr>
            <w:tcW w:w="5812" w:type="dxa"/>
            <w:tcBorders>
              <w:top w:val="single" w:sz="4" w:space="0" w:color="005693"/>
              <w:left w:val="single" w:sz="4" w:space="0" w:color="666666"/>
              <w:bottom w:val="single" w:sz="4" w:space="0" w:color="666666"/>
              <w:right w:val="single" w:sz="4" w:space="0" w:color="666666"/>
            </w:tcBorders>
          </w:tcPr>
          <w:p w14:paraId="64471365"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Aplicaremos pruebas unitarias, de integración y de extremo a extremo sobre los flujos críticos y sobre las reglas que actualizamos al cierre del alcance.</w:t>
            </w:r>
          </w:p>
        </w:tc>
        <w:tc>
          <w:tcPr>
            <w:tcW w:w="3058" w:type="dxa"/>
            <w:tcBorders>
              <w:top w:val="single" w:sz="4" w:space="0" w:color="005693"/>
              <w:left w:val="single" w:sz="4" w:space="0" w:color="666666"/>
              <w:bottom w:val="single" w:sz="4" w:space="0" w:color="666666"/>
              <w:right w:val="single" w:sz="4" w:space="0" w:color="666666"/>
            </w:tcBorders>
          </w:tcPr>
          <w:p w14:paraId="15C008D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Dejaremos evidencia de pruebas sobre autenticación, roles, compra, Webpay Mall, delivery con código, calificación, reclamos, sanciones y apelaciones, validación automática de palabras prohibidas y comunicaciones.</w:t>
            </w:r>
          </w:p>
        </w:tc>
      </w:tr>
      <w:tr w:rsidR="00242F0F" w:rsidRPr="00AB59AB" w14:paraId="706BD57B" w14:textId="77777777">
        <w:tc>
          <w:tcPr>
            <w:tcW w:w="5812" w:type="dxa"/>
            <w:tcBorders>
              <w:top w:val="single" w:sz="4" w:space="0" w:color="666666"/>
              <w:left w:val="single" w:sz="4" w:space="0" w:color="666666"/>
              <w:bottom w:val="single" w:sz="4" w:space="0" w:color="666666"/>
              <w:right w:val="single" w:sz="4" w:space="0" w:color="666666"/>
            </w:tcBorders>
          </w:tcPr>
          <w:p w14:paraId="03EB9836"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Protegeremos las credenciales, los datos sensibles y la consistencia de las transacciones.</w:t>
            </w:r>
          </w:p>
        </w:tc>
        <w:tc>
          <w:tcPr>
            <w:tcW w:w="3058" w:type="dxa"/>
            <w:tcBorders>
              <w:top w:val="single" w:sz="4" w:space="0" w:color="666666"/>
              <w:left w:val="single" w:sz="4" w:space="0" w:color="666666"/>
              <w:bottom w:val="single" w:sz="4" w:space="0" w:color="666666"/>
              <w:right w:val="single" w:sz="4" w:space="0" w:color="666666"/>
            </w:tcBorders>
          </w:tcPr>
          <w:p w14:paraId="003AF23E"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Utilizaremos Supabase Auth, roles, RLS, policies y grants revisados, las restricciones de la base de datos, el manejo de errores y los secretos fuera del código; los documentos de postulación se resguardan con los permisos de almacenamiento correspondientes.</w:t>
            </w:r>
          </w:p>
        </w:tc>
      </w:tr>
      <w:tr w:rsidR="00242F0F" w:rsidRPr="00AB59AB" w14:paraId="10A61AB9" w14:textId="77777777">
        <w:tc>
          <w:tcPr>
            <w:tcW w:w="5812" w:type="dxa"/>
            <w:tcBorders>
              <w:top w:val="single" w:sz="4" w:space="0" w:color="666666"/>
              <w:left w:val="single" w:sz="4" w:space="0" w:color="666666"/>
              <w:bottom w:val="single" w:sz="4" w:space="0" w:color="005693"/>
              <w:right w:val="single" w:sz="4" w:space="0" w:color="666666"/>
            </w:tcBorders>
          </w:tcPr>
          <w:p w14:paraId="73E9BDA1"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Mantendremos trazabilidad y control de versiones durante todo el desarrollo.</w:t>
            </w:r>
          </w:p>
        </w:tc>
        <w:tc>
          <w:tcPr>
            <w:tcW w:w="3058" w:type="dxa"/>
            <w:tcBorders>
              <w:top w:val="single" w:sz="4" w:space="0" w:color="666666"/>
              <w:left w:val="single" w:sz="4" w:space="0" w:color="666666"/>
              <w:bottom w:val="single" w:sz="4" w:space="0" w:color="005693"/>
              <w:right w:val="single" w:sz="4" w:space="0" w:color="666666"/>
            </w:tcBorders>
          </w:tcPr>
          <w:p w14:paraId="691CCB0A"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Usaremos Git con ramas de trabajo, revisión de cambios, documentos actualizados y registros de decisiones para mantener coherencia entre código, pruebas y entregables.</w:t>
            </w:r>
          </w:p>
        </w:tc>
      </w:tr>
      <w:tr w:rsidR="00242F0F" w:rsidRPr="00AB59AB" w14:paraId="13D6819A" w14:textId="77777777">
        <w:tc>
          <w:tcPr>
            <w:tcW w:w="8870" w:type="dxa"/>
            <w:gridSpan w:val="2"/>
            <w:tcBorders>
              <w:top w:val="single" w:sz="4" w:space="0" w:color="005693"/>
              <w:left w:val="single" w:sz="4" w:space="0" w:color="005693"/>
              <w:bottom w:val="single" w:sz="4" w:space="0" w:color="005693"/>
              <w:right w:val="single" w:sz="4" w:space="0" w:color="005693"/>
            </w:tcBorders>
            <w:shd w:val="clear" w:color="auto" w:fill="005693"/>
          </w:tcPr>
          <w:p w14:paraId="4F5BE7C0" w14:textId="77777777" w:rsidR="00242F0F" w:rsidRPr="00AB59AB" w:rsidRDefault="00000000">
            <w:pPr>
              <w:pBdr>
                <w:top w:val="nil"/>
                <w:left w:val="nil"/>
                <w:bottom w:val="nil"/>
                <w:right w:val="nil"/>
                <w:between w:val="nil"/>
              </w:pBdr>
              <w:spacing w:after="0" w:line="240" w:lineRule="auto"/>
              <w:ind w:hanging="2"/>
              <w:rPr>
                <w:rFonts w:asciiTheme="majorHAnsi" w:hAnsiTheme="majorHAnsi" w:cstheme="majorHAnsi"/>
                <w:b/>
                <w:color w:val="FFFFFF"/>
              </w:rPr>
            </w:pPr>
            <w:r w:rsidRPr="00AB59AB">
              <w:rPr>
                <w:rFonts w:asciiTheme="majorHAnsi" w:hAnsiTheme="majorHAnsi" w:cstheme="majorHAnsi"/>
                <w:b/>
                <w:color w:val="FFFFFF"/>
                <w:sz w:val="16"/>
              </w:rPr>
              <w:t>Otros</w:t>
            </w:r>
          </w:p>
        </w:tc>
      </w:tr>
      <w:tr w:rsidR="00242F0F" w:rsidRPr="00AB59AB" w14:paraId="18535038" w14:textId="77777777">
        <w:trPr>
          <w:trHeight w:val="300"/>
        </w:trPr>
        <w:tc>
          <w:tcPr>
            <w:tcW w:w="5812" w:type="dxa"/>
            <w:tcBorders>
              <w:top w:val="single" w:sz="4" w:space="0" w:color="005693"/>
              <w:left w:val="single" w:sz="4" w:space="0" w:color="666666"/>
              <w:bottom w:val="single" w:sz="4" w:space="0" w:color="666666"/>
              <w:right w:val="single" w:sz="4" w:space="0" w:color="666666"/>
            </w:tcBorders>
          </w:tcPr>
          <w:p w14:paraId="2736A40C"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Dividiremos el trabajo principalmente entre backend y frontend, manteniendo compartidas la arquitectura, las pruebas, la documentación, el control de cambios y la coordinación.</w:t>
            </w:r>
          </w:p>
        </w:tc>
        <w:tc>
          <w:tcPr>
            <w:tcW w:w="3058" w:type="dxa"/>
            <w:tcBorders>
              <w:top w:val="single" w:sz="4" w:space="0" w:color="005693"/>
              <w:left w:val="single" w:sz="4" w:space="0" w:color="666666"/>
              <w:bottom w:val="single" w:sz="4" w:space="0" w:color="666666"/>
              <w:right w:val="single" w:sz="4" w:space="0" w:color="666666"/>
            </w:tcBorders>
          </w:tcPr>
          <w:p w14:paraId="7640358D"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Repartiremos las responsabilidades principales entre Vicente Rivera en backend/Jefe de Proyecto e Ignacio Fuenzalida en frontend, con responsabilidades compartidas en actividades y entregables, sin dejar de revisar juntos las decisiones que afectan al proyecto completo.</w:t>
            </w:r>
          </w:p>
        </w:tc>
      </w:tr>
      <w:tr w:rsidR="00242F0F" w:rsidRPr="00AB59AB" w14:paraId="0F1A2E76" w14:textId="77777777">
        <w:tc>
          <w:tcPr>
            <w:tcW w:w="5812" w:type="dxa"/>
            <w:tcBorders>
              <w:top w:val="single" w:sz="4" w:space="0" w:color="666666"/>
              <w:left w:val="single" w:sz="4" w:space="0" w:color="666666"/>
              <w:bottom w:val="single" w:sz="4" w:space="0" w:color="666666"/>
              <w:right w:val="single" w:sz="4" w:space="0" w:color="666666"/>
            </w:tcBorders>
          </w:tcPr>
          <w:p w14:paraId="4F3940B2"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Mantendremos como prioridad la estabilidad de los flujos oficiales antes de agregar nuevas funcionalidades.</w:t>
            </w:r>
          </w:p>
        </w:tc>
        <w:tc>
          <w:tcPr>
            <w:tcW w:w="3058" w:type="dxa"/>
            <w:tcBorders>
              <w:top w:val="single" w:sz="4" w:space="0" w:color="666666"/>
              <w:left w:val="single" w:sz="4" w:space="0" w:color="666666"/>
              <w:bottom w:val="single" w:sz="4" w:space="0" w:color="666666"/>
              <w:right w:val="single" w:sz="4" w:space="0" w:color="666666"/>
            </w:tcBorders>
          </w:tcPr>
          <w:p w14:paraId="6273CA06"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 xml:space="preserve">Las nuevas solicitudes se evaluarán antes de aceptarlas y las funciones que el alcance </w:t>
            </w:r>
            <w:r w:rsidRPr="00AB59AB">
              <w:rPr>
                <w:rFonts w:asciiTheme="majorHAnsi" w:hAnsiTheme="majorHAnsi" w:cstheme="majorHAnsi"/>
                <w:sz w:val="16"/>
              </w:rPr>
              <w:lastRenderedPageBreak/>
              <w:t>final haya descartado no se reincorporarán durante el MVP sin una decisión formal.</w:t>
            </w:r>
          </w:p>
        </w:tc>
      </w:tr>
      <w:tr w:rsidR="00242F0F" w:rsidRPr="00AB59AB" w14:paraId="75DECF6E" w14:textId="77777777">
        <w:tc>
          <w:tcPr>
            <w:tcW w:w="5812" w:type="dxa"/>
            <w:tcBorders>
              <w:top w:val="single" w:sz="4" w:space="0" w:color="666666"/>
              <w:left w:val="single" w:sz="4" w:space="0" w:color="666666"/>
              <w:bottom w:val="single" w:sz="4" w:space="0" w:color="666666"/>
              <w:right w:val="single" w:sz="4" w:space="0" w:color="666666"/>
            </w:tcBorders>
          </w:tcPr>
          <w:p w14:paraId="7A751604"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lastRenderedPageBreak/>
              <w:t>Dejaremos preparada la documentación necesaria para la continuidad y el soporte del sistema.</w:t>
            </w:r>
          </w:p>
        </w:tc>
        <w:tc>
          <w:tcPr>
            <w:tcW w:w="3058" w:type="dxa"/>
            <w:tcBorders>
              <w:top w:val="single" w:sz="4" w:space="0" w:color="666666"/>
              <w:left w:val="single" w:sz="4" w:space="0" w:color="666666"/>
              <w:bottom w:val="single" w:sz="4" w:space="0" w:color="666666"/>
              <w:right w:val="single" w:sz="4" w:space="0" w:color="666666"/>
            </w:tcBorders>
          </w:tcPr>
          <w:p w14:paraId="78DA9DA6"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Entregaremos manuales, plan de implantación, soporte y mantenimiento, además de la documentación de arquitectura, configuración y despliegue.</w:t>
            </w:r>
          </w:p>
        </w:tc>
      </w:tr>
    </w:tbl>
    <w:p w14:paraId="7FC89EFA" w14:textId="77777777" w:rsidR="00242F0F" w:rsidRPr="00AB59AB" w:rsidRDefault="00000000">
      <w:pPr>
        <w:pStyle w:val="Ttulo1"/>
        <w:spacing w:before="280" w:after="280"/>
        <w:ind w:left="1" w:hanging="3"/>
        <w:rPr>
          <w:rFonts w:asciiTheme="majorHAnsi" w:hAnsiTheme="majorHAnsi" w:cstheme="majorHAnsi"/>
          <w:color w:val="005693"/>
        </w:rPr>
      </w:pPr>
      <w:bookmarkStart w:id="10" w:name="_heading=h.xl2bkyyil928" w:colFirst="0" w:colLast="0"/>
      <w:bookmarkEnd w:id="10"/>
      <w:r w:rsidRPr="00AB59AB">
        <w:rPr>
          <w:rFonts w:asciiTheme="majorHAnsi" w:hAnsiTheme="majorHAnsi" w:cstheme="majorHAnsi"/>
          <w:color w:val="005693"/>
        </w:rPr>
        <w:br/>
        <w:t>Riesgos iniciales de alto nivel</w:t>
      </w:r>
    </w:p>
    <w:tbl>
      <w:tblPr>
        <w:tblStyle w:val="af"/>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AB59AB" w14:paraId="4AA79E6A" w14:textId="77777777">
        <w:tc>
          <w:tcPr>
            <w:tcW w:w="8870" w:type="dxa"/>
            <w:tcBorders>
              <w:top w:val="single" w:sz="4" w:space="0" w:color="666666"/>
              <w:left w:val="single" w:sz="4" w:space="0" w:color="666666"/>
              <w:bottom w:val="single" w:sz="4" w:space="0" w:color="666666"/>
              <w:right w:val="single" w:sz="4" w:space="0" w:color="666666"/>
            </w:tcBorders>
          </w:tcPr>
          <w:p w14:paraId="4E87CBF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Identificamos como riesgos iniciales de alto nivel los siguientes:</w:t>
            </w:r>
            <w:r w:rsidRPr="00AB59AB">
              <w:rPr>
                <w:rFonts w:asciiTheme="majorHAnsi" w:hAnsiTheme="majorHAnsi" w:cstheme="majorHAnsi"/>
                <w:sz w:val="16"/>
              </w:rPr>
              <w:br/>
            </w:r>
            <w:r w:rsidRPr="00AB59AB">
              <w:rPr>
                <w:rFonts w:asciiTheme="majorHAnsi" w:hAnsiTheme="majorHAnsi" w:cstheme="majorHAnsi"/>
                <w:sz w:val="16"/>
              </w:rPr>
              <w:br/>
              <w:t>- Migración de SQLite a PostgreSQL: podemos encontrar diferencias de estructura, relaciones o datos. Nosotros mitigaremos este riesgo revisando el modelo, preparando scripts y validando con datos de prueba antes de cerrar la migración.</w:t>
            </w:r>
            <w:r w:rsidRPr="00AB59AB">
              <w:rPr>
                <w:rFonts w:asciiTheme="majorHAnsi" w:hAnsiTheme="majorHAnsi" w:cstheme="majorHAnsi"/>
                <w:sz w:val="16"/>
              </w:rPr>
              <w:br/>
              <w:t>- Integración y consistencia de Webpay: un error de retorno o una transacción repetida puede generar inconsistencias. Nosotros utilizaremos identificadores únicos, registros de estado, manejo de errores y validaciones antes de confirmar cada operación.</w:t>
            </w:r>
            <w:r w:rsidRPr="00AB59AB">
              <w:rPr>
                <w:rFonts w:asciiTheme="majorHAnsi" w:hAnsiTheme="majorHAnsi" w:cstheme="majorHAnsi"/>
                <w:sz w:val="16"/>
              </w:rPr>
              <w:br/>
              <w:t>- Dispersión del pago y conciliación: la dispersión la realiza Transbank mediante Split Payment y deposita directo en la cuenta bancaria del comercio, por lo que debemos mantener una trazabilidad clara del pago y de la entrega. Nosotros separaremos estos estados en la base de datos y protegeremos los datos bancarios y financieros del comercio con las políticas de acceso correspondientes.</w:t>
            </w:r>
            <w:r w:rsidRPr="00AB59AB">
              <w:rPr>
                <w:rFonts w:asciiTheme="majorHAnsi" w:hAnsiTheme="majorHAnsi" w:cstheme="majorHAnsi"/>
                <w:sz w:val="16"/>
              </w:rPr>
              <w:br/>
              <w:t>- Seguridad de autenticación: la seguridad se apoya en Supabase Auth (GoTrue), los roles, las RLS, las policies y los grants. Nosotros revisaremos esas configuraciones y ajustaremos los permisos por rol, sin implementar reglas de autenticación propias en FastAPI.</w:t>
            </w:r>
            <w:r w:rsidRPr="00AB59AB">
              <w:rPr>
                <w:rFonts w:asciiTheme="majorHAnsi" w:hAnsiTheme="majorHAnsi" w:cstheme="majorHAnsi"/>
                <w:sz w:val="16"/>
              </w:rPr>
              <w:br/>
              <w:t>- Dependencias externas: Supabase, Vercel, GCP, Resend y Transbank pueden presentar restricciones o interrupciones. Nosotros mantendremos pruebas por capas y mocks o stubs cuando una dependencia externa impida avanzar.</w:t>
            </w:r>
            <w:r w:rsidRPr="00AB59AB">
              <w:rPr>
                <w:rFonts w:asciiTheme="majorHAnsi" w:hAnsiTheme="majorHAnsi" w:cstheme="majorHAnsi"/>
                <w:sz w:val="16"/>
              </w:rPr>
              <w:br/>
              <w:t>- Validación regional y delivery: una regla mal aplicada puede permitir compras que no corresponden a la cobertura del proyecto. Nosotros validaremos exclusivamente la región y utilizaremos un código de verificación para respaldar la entrega, sin depender de GPS o mapas en tiempo real.</w:t>
            </w:r>
            <w:r w:rsidRPr="00AB59AB">
              <w:rPr>
                <w:rFonts w:asciiTheme="majorHAnsi" w:hAnsiTheme="majorHAnsi" w:cstheme="majorHAnsi"/>
                <w:sz w:val="16"/>
              </w:rPr>
              <w:br/>
              <w:t>- Alcance excesivo para un equipo de dos personas: una ampliación no controlada puede comprometer el cronograma. Nosotros revisaremos semanalmente el alcance y mantendremos fuera del MVP las funcionalidades descartadas en la actualización final.</w:t>
            </w:r>
          </w:p>
        </w:tc>
      </w:tr>
    </w:tbl>
    <w:p w14:paraId="1B751563" w14:textId="77777777" w:rsidR="00242F0F" w:rsidRPr="00AB59AB" w:rsidRDefault="00000000">
      <w:pPr>
        <w:pStyle w:val="Ttulo1"/>
        <w:spacing w:before="280" w:after="280"/>
        <w:ind w:left="1" w:hanging="3"/>
        <w:rPr>
          <w:rFonts w:asciiTheme="majorHAnsi" w:hAnsiTheme="majorHAnsi" w:cstheme="majorHAnsi"/>
          <w:color w:val="005693"/>
        </w:rPr>
      </w:pPr>
      <w:bookmarkStart w:id="11" w:name="_heading=h.3dy6vkm" w:colFirst="0" w:colLast="0"/>
      <w:bookmarkEnd w:id="11"/>
      <w:r w:rsidRPr="00AB59AB">
        <w:rPr>
          <w:rFonts w:asciiTheme="majorHAnsi" w:hAnsiTheme="majorHAnsi" w:cstheme="majorHAnsi"/>
          <w:color w:val="005693"/>
        </w:rPr>
        <w:br/>
        <w:t>Cronograma de hitos principales</w:t>
      </w:r>
    </w:p>
    <w:tbl>
      <w:tblPr>
        <w:tblStyle w:val="af0"/>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63"/>
        <w:gridCol w:w="2207"/>
      </w:tblGrid>
      <w:tr w:rsidR="00242F0F" w:rsidRPr="00AB59AB" w14:paraId="23153C43" w14:textId="77777777">
        <w:tc>
          <w:tcPr>
            <w:tcW w:w="6663" w:type="dxa"/>
            <w:tcBorders>
              <w:top w:val="single" w:sz="4" w:space="0" w:color="003F6C"/>
              <w:left w:val="single" w:sz="4" w:space="0" w:color="003F6C"/>
              <w:bottom w:val="single" w:sz="4" w:space="0" w:color="003F6C"/>
              <w:right w:val="single" w:sz="4" w:space="0" w:color="003F6C"/>
            </w:tcBorders>
            <w:shd w:val="clear" w:color="auto" w:fill="003F6C"/>
          </w:tcPr>
          <w:p w14:paraId="75C23860"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Hito</w:t>
            </w:r>
          </w:p>
        </w:tc>
        <w:tc>
          <w:tcPr>
            <w:tcW w:w="2207" w:type="dxa"/>
            <w:tcBorders>
              <w:top w:val="single" w:sz="4" w:space="0" w:color="003F6C"/>
              <w:left w:val="single" w:sz="4" w:space="0" w:color="003F6C"/>
              <w:bottom w:val="single" w:sz="4" w:space="0" w:color="003F6C"/>
              <w:right w:val="single" w:sz="4" w:space="0" w:color="003F6C"/>
            </w:tcBorders>
            <w:shd w:val="clear" w:color="auto" w:fill="003F6C"/>
          </w:tcPr>
          <w:p w14:paraId="36F9AAAB"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Fecha tope</w:t>
            </w:r>
          </w:p>
        </w:tc>
      </w:tr>
      <w:tr w:rsidR="00242F0F" w:rsidRPr="00AB59AB" w14:paraId="1D62D838" w14:textId="77777777">
        <w:tc>
          <w:tcPr>
            <w:tcW w:w="6663" w:type="dxa"/>
            <w:tcBorders>
              <w:top w:val="single" w:sz="4" w:space="0" w:color="003F6C"/>
              <w:left w:val="single" w:sz="4" w:space="0" w:color="666666"/>
              <w:bottom w:val="single" w:sz="4" w:space="0" w:color="666666"/>
              <w:right w:val="single" w:sz="4" w:space="0" w:color="666666"/>
            </w:tcBorders>
          </w:tcPr>
          <w:p w14:paraId="00B59D87"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Inicio y Planificación Inicial: Acta, EDT, Hitos, Carta Gantt, RACI, Matriz de Riesgos y Plan de Pruebas Inicial</w:t>
            </w:r>
          </w:p>
        </w:tc>
        <w:tc>
          <w:tcPr>
            <w:tcW w:w="2207" w:type="dxa"/>
            <w:tcBorders>
              <w:top w:val="single" w:sz="4" w:space="0" w:color="003F6C"/>
              <w:left w:val="single" w:sz="4" w:space="0" w:color="666666"/>
              <w:bottom w:val="single" w:sz="4" w:space="0" w:color="666666"/>
              <w:right w:val="single" w:sz="4" w:space="0" w:color="666666"/>
            </w:tcBorders>
          </w:tcPr>
          <w:p w14:paraId="5268E696"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Semana 1 - 11 de septiembre</w:t>
            </w:r>
          </w:p>
        </w:tc>
      </w:tr>
      <w:tr w:rsidR="00242F0F" w:rsidRPr="00AB59AB" w14:paraId="5CD40D3B" w14:textId="77777777">
        <w:tc>
          <w:tcPr>
            <w:tcW w:w="6663" w:type="dxa"/>
            <w:tcBorders>
              <w:top w:val="single" w:sz="4" w:space="0" w:color="666666"/>
              <w:left w:val="single" w:sz="4" w:space="0" w:color="666666"/>
              <w:bottom w:val="single" w:sz="4" w:space="0" w:color="666666"/>
              <w:right w:val="single" w:sz="4" w:space="0" w:color="666666"/>
            </w:tcBorders>
          </w:tcPr>
          <w:p w14:paraId="740DA57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Análisis y Diseño: ERS, criterios de aceptación, modelo de datos, arquitectura, reglas de seguridad, flujo de pagos y mockups</w:t>
            </w:r>
          </w:p>
        </w:tc>
        <w:tc>
          <w:tcPr>
            <w:tcW w:w="2207" w:type="dxa"/>
            <w:tcBorders>
              <w:top w:val="single" w:sz="4" w:space="0" w:color="666666"/>
              <w:left w:val="single" w:sz="4" w:space="0" w:color="666666"/>
              <w:bottom w:val="single" w:sz="4" w:space="0" w:color="666666"/>
              <w:right w:val="single" w:sz="4" w:space="0" w:color="666666"/>
            </w:tcBorders>
          </w:tcPr>
          <w:p w14:paraId="4A91F796"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Semanas 2 a 4</w:t>
            </w:r>
          </w:p>
        </w:tc>
      </w:tr>
      <w:tr w:rsidR="00242F0F" w:rsidRPr="00AB59AB" w14:paraId="15022A96" w14:textId="77777777">
        <w:tc>
          <w:tcPr>
            <w:tcW w:w="6663" w:type="dxa"/>
            <w:tcBorders>
              <w:top w:val="single" w:sz="4" w:space="0" w:color="666666"/>
              <w:left w:val="single" w:sz="4" w:space="0" w:color="666666"/>
              <w:bottom w:val="single" w:sz="4" w:space="0" w:color="666666"/>
              <w:right w:val="single" w:sz="4" w:space="0" w:color="666666"/>
            </w:tcBorders>
          </w:tcPr>
          <w:p w14:paraId="4E0C852C"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Construcción: frontend, persistencia, autenticación, módulos de Cliente/Vendedor/Administración e integraciones principales</w:t>
            </w:r>
          </w:p>
        </w:tc>
        <w:tc>
          <w:tcPr>
            <w:tcW w:w="2207" w:type="dxa"/>
            <w:tcBorders>
              <w:top w:val="single" w:sz="4" w:space="0" w:color="666666"/>
              <w:left w:val="single" w:sz="4" w:space="0" w:color="666666"/>
              <w:bottom w:val="single" w:sz="4" w:space="0" w:color="666666"/>
              <w:right w:val="single" w:sz="4" w:space="0" w:color="666666"/>
            </w:tcBorders>
          </w:tcPr>
          <w:p w14:paraId="515DC2AC"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Semanas 5 a 8</w:t>
            </w:r>
          </w:p>
        </w:tc>
      </w:tr>
      <w:tr w:rsidR="00242F0F" w:rsidRPr="00AB59AB" w14:paraId="45E19339" w14:textId="77777777">
        <w:tc>
          <w:tcPr>
            <w:tcW w:w="6663" w:type="dxa"/>
            <w:tcBorders>
              <w:top w:val="single" w:sz="4" w:space="0" w:color="666666"/>
              <w:left w:val="single" w:sz="4" w:space="0" w:color="666666"/>
              <w:bottom w:val="single" w:sz="4" w:space="0" w:color="666666"/>
              <w:right w:val="single" w:sz="4" w:space="0" w:color="666666"/>
            </w:tcBorders>
          </w:tcPr>
          <w:p w14:paraId="0F2877C4"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Integración y validación: Webpay Mall (Split Payment), reclamos, delivery con código, calificación, sanciones y apelaciones, correos y pruebas de integración</w:t>
            </w:r>
          </w:p>
        </w:tc>
        <w:tc>
          <w:tcPr>
            <w:tcW w:w="2207" w:type="dxa"/>
            <w:tcBorders>
              <w:top w:val="single" w:sz="4" w:space="0" w:color="666666"/>
              <w:left w:val="single" w:sz="4" w:space="0" w:color="666666"/>
              <w:bottom w:val="single" w:sz="4" w:space="0" w:color="666666"/>
              <w:right w:val="single" w:sz="4" w:space="0" w:color="666666"/>
            </w:tcBorders>
          </w:tcPr>
          <w:p w14:paraId="1E874151"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Semanas 9 a 10</w:t>
            </w:r>
          </w:p>
        </w:tc>
      </w:tr>
      <w:tr w:rsidR="00242F0F" w:rsidRPr="00AB59AB" w14:paraId="1420EBF2" w14:textId="77777777">
        <w:tc>
          <w:tcPr>
            <w:tcW w:w="6663" w:type="dxa"/>
            <w:tcBorders>
              <w:top w:val="single" w:sz="4" w:space="0" w:color="666666"/>
              <w:left w:val="single" w:sz="4" w:space="0" w:color="666666"/>
              <w:bottom w:val="single" w:sz="4" w:space="0" w:color="666666"/>
              <w:right w:val="single" w:sz="4" w:space="0" w:color="666666"/>
            </w:tcBorders>
          </w:tcPr>
          <w:p w14:paraId="79D9C087"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Cierre de desarrollo, correcciones, regresión y verificación del alcance actualizado</w:t>
            </w:r>
          </w:p>
        </w:tc>
        <w:tc>
          <w:tcPr>
            <w:tcW w:w="2207" w:type="dxa"/>
            <w:tcBorders>
              <w:top w:val="single" w:sz="4" w:space="0" w:color="666666"/>
              <w:left w:val="single" w:sz="4" w:space="0" w:color="666666"/>
              <w:bottom w:val="single" w:sz="4" w:space="0" w:color="666666"/>
              <w:right w:val="single" w:sz="4" w:space="0" w:color="666666"/>
            </w:tcBorders>
          </w:tcPr>
          <w:p w14:paraId="31BBFE8B"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Semana 11</w:t>
            </w:r>
          </w:p>
        </w:tc>
      </w:tr>
    </w:tbl>
    <w:p w14:paraId="4E086766" w14:textId="77777777" w:rsidR="00242F0F" w:rsidRPr="00AB59AB" w:rsidRDefault="00000000">
      <w:pPr>
        <w:pStyle w:val="Ttulo1"/>
        <w:spacing w:before="280" w:after="280"/>
        <w:ind w:left="1" w:hanging="3"/>
        <w:rPr>
          <w:rFonts w:asciiTheme="majorHAnsi" w:hAnsiTheme="majorHAnsi" w:cstheme="majorHAnsi"/>
          <w:color w:val="003F6C"/>
        </w:rPr>
      </w:pPr>
      <w:bookmarkStart w:id="12" w:name="_heading=h.1t3h5sf" w:colFirst="0" w:colLast="0"/>
      <w:bookmarkEnd w:id="12"/>
      <w:r w:rsidRPr="00AB59AB">
        <w:rPr>
          <w:rFonts w:asciiTheme="majorHAnsi" w:hAnsiTheme="majorHAnsi" w:cstheme="majorHAnsi"/>
          <w:color w:val="003F6C"/>
        </w:rPr>
        <w:t>Presupuesto inicial asignado</w:t>
      </w:r>
    </w:p>
    <w:tbl>
      <w:tblPr>
        <w:tblStyle w:val="af1"/>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0"/>
      </w:tblGrid>
      <w:tr w:rsidR="00242F0F" w:rsidRPr="00AB59AB" w14:paraId="6F040B2C" w14:textId="77777777">
        <w:trPr>
          <w:trHeight w:val="870"/>
        </w:trPr>
        <w:tc>
          <w:tcPr>
            <w:tcW w:w="8870" w:type="dxa"/>
            <w:tcBorders>
              <w:top w:val="single" w:sz="4" w:space="0" w:color="666666"/>
              <w:left w:val="single" w:sz="4" w:space="0" w:color="666666"/>
              <w:bottom w:val="single" w:sz="4" w:space="0" w:color="666666"/>
              <w:right w:val="single" w:sz="4" w:space="0" w:color="666666"/>
            </w:tcBorders>
          </w:tcPr>
          <w:p w14:paraId="33738EA5"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Trabajaremos con la Opción A para el MVP académico: Vercel Hobby USD 0, Supabase en nivel gratuito, los componentes necesarios de backend en Cloud Run utilizando los créditos GCP disponibles y un dominio estimado en USD 12 al año. El informe estima un costo operativo aproximado de USD 12 para el MVP, sin considerar los créditos gratuitos ni nuestras horas de trabajo académico.</w:t>
            </w:r>
          </w:p>
          <w:p w14:paraId="73341A91"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El modelo de negocio proyectado contempla una tarifa fija de delivery de 3.500 CLP más el fee correspondiente, y una suscripción mensual o anual por productor que hoy queda fuera de la facturación del MVP. En el flujo de pagos, Webpay Mall (Split Payment) captura y dispersa el pago en tiempo real y Transbank deposita directo en la cuenta bancaria del comercio. La aprobación de la postulación y el registro del Código de Comercio Mall son dos procesos distintos: el Administrador aprueba o rechaza la postulación revisando la documentación KYB, y el registro del Código de Comercio Mall se completa después, cuando finaliza el trámite con Transbank.</w:t>
            </w:r>
          </w:p>
          <w:p w14:paraId="30EC2995" w14:textId="77777777" w:rsidR="00AA7A06" w:rsidRPr="00AB59AB" w:rsidRDefault="00000000">
            <w:pPr>
              <w:spacing w:after="0"/>
              <w:rPr>
                <w:rFonts w:asciiTheme="majorHAnsi" w:hAnsiTheme="majorHAnsi" w:cstheme="majorHAnsi"/>
              </w:rPr>
            </w:pPr>
            <w:r w:rsidRPr="00AB59AB">
              <w:rPr>
                <w:rFonts w:asciiTheme="majorHAnsi" w:hAnsiTheme="majorHAnsi" w:cstheme="majorHAnsi"/>
                <w:sz w:val="16"/>
              </w:rPr>
              <w:t>Documentaremos una Opción B productiva como referencia de continuidad, estimada en USD 100 a 120 mensuales más comisiones de Webpay. Esta proyección no representa un gasto comprometido para el periodo académico.</w:t>
            </w:r>
          </w:p>
        </w:tc>
      </w:tr>
    </w:tbl>
    <w:p w14:paraId="092D9338" w14:textId="77777777" w:rsidR="00242F0F" w:rsidRPr="00AB59AB" w:rsidRDefault="00000000">
      <w:pPr>
        <w:pStyle w:val="Ttulo1"/>
        <w:spacing w:before="280" w:after="280"/>
        <w:ind w:left="1" w:hanging="3"/>
        <w:rPr>
          <w:rFonts w:asciiTheme="majorHAnsi" w:hAnsiTheme="majorHAnsi" w:cstheme="majorHAnsi"/>
          <w:color w:val="003F6C"/>
        </w:rPr>
      </w:pPr>
      <w:r w:rsidRPr="00AB59AB">
        <w:rPr>
          <w:rFonts w:asciiTheme="majorHAnsi" w:hAnsiTheme="majorHAnsi" w:cstheme="majorHAnsi"/>
          <w:b w:val="0"/>
        </w:rPr>
        <w:lastRenderedPageBreak/>
        <w:br/>
      </w:r>
      <w:r w:rsidRPr="00AB59AB">
        <w:rPr>
          <w:rFonts w:asciiTheme="majorHAnsi" w:hAnsiTheme="majorHAnsi" w:cstheme="majorHAnsi"/>
          <w:color w:val="003F6C"/>
        </w:rPr>
        <w:t>Lista de Interesados (</w:t>
      </w:r>
      <w:proofErr w:type="spellStart"/>
      <w:r w:rsidRPr="00AB59AB">
        <w:rPr>
          <w:rFonts w:asciiTheme="majorHAnsi" w:hAnsiTheme="majorHAnsi" w:cstheme="majorHAnsi"/>
          <w:color w:val="003F6C"/>
        </w:rPr>
        <w:t>stakeholders</w:t>
      </w:r>
      <w:proofErr w:type="spellEnd"/>
      <w:r w:rsidRPr="00AB59AB">
        <w:rPr>
          <w:rFonts w:asciiTheme="majorHAnsi" w:hAnsiTheme="majorHAnsi" w:cstheme="majorHAnsi"/>
          <w:color w:val="003F6C"/>
        </w:rPr>
        <w:t>)</w:t>
      </w:r>
    </w:p>
    <w:p w14:paraId="3475851D" w14:textId="77777777" w:rsidR="00242F0F" w:rsidRPr="00AB59AB" w:rsidRDefault="00000000">
      <w:pPr>
        <w:pStyle w:val="Ttulo1"/>
        <w:spacing w:before="280" w:after="280"/>
        <w:ind w:left="1" w:hanging="3"/>
        <w:rPr>
          <w:rFonts w:asciiTheme="majorHAnsi" w:hAnsiTheme="majorHAnsi" w:cstheme="majorHAnsi"/>
          <w:color w:val="003F6C"/>
        </w:rPr>
      </w:pPr>
      <w:r w:rsidRPr="00AB59AB">
        <w:rPr>
          <w:rFonts w:asciiTheme="majorHAnsi" w:hAnsiTheme="majorHAnsi" w:cstheme="majorHAnsi"/>
          <w:sz w:val="16"/>
        </w:rPr>
        <w:t>Contactos autorizados: Vicente Rivera (RUT 21.768.183-9) e Ignacio Fuenzalida (RUT 21.401.354-1). No incorporamos otros nombres personales en el acta.</w:t>
      </w:r>
    </w:p>
    <w:tbl>
      <w:tblPr>
        <w:tblStyle w:val="af2"/>
        <w:tblW w:w="6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6"/>
        <w:gridCol w:w="2244"/>
        <w:gridCol w:w="2245"/>
      </w:tblGrid>
      <w:tr w:rsidR="00242F0F" w:rsidRPr="00AB59AB" w14:paraId="5A4E0123" w14:textId="77777777">
        <w:tc>
          <w:tcPr>
            <w:tcW w:w="2136" w:type="dxa"/>
            <w:tcBorders>
              <w:top w:val="single" w:sz="4" w:space="0" w:color="003F6C"/>
              <w:left w:val="single" w:sz="4" w:space="0" w:color="003F6C"/>
              <w:bottom w:val="single" w:sz="4" w:space="0" w:color="666666"/>
              <w:right w:val="single" w:sz="4" w:space="0" w:color="003F6C"/>
            </w:tcBorders>
            <w:shd w:val="clear" w:color="auto" w:fill="003F6C"/>
          </w:tcPr>
          <w:p w14:paraId="1B80851A"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Nombre</w:t>
            </w:r>
          </w:p>
        </w:tc>
        <w:tc>
          <w:tcPr>
            <w:tcW w:w="2244" w:type="dxa"/>
            <w:tcBorders>
              <w:top w:val="single" w:sz="4" w:space="0" w:color="003F6C"/>
              <w:left w:val="single" w:sz="4" w:space="0" w:color="003F6C"/>
              <w:bottom w:val="single" w:sz="4" w:space="0" w:color="666666"/>
              <w:right w:val="single" w:sz="4" w:space="0" w:color="003F6C"/>
            </w:tcBorders>
            <w:shd w:val="clear" w:color="auto" w:fill="003F6C"/>
          </w:tcPr>
          <w:p w14:paraId="2C7EE893"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Cargo</w:t>
            </w:r>
          </w:p>
        </w:tc>
        <w:tc>
          <w:tcPr>
            <w:tcW w:w="2245" w:type="dxa"/>
            <w:tcBorders>
              <w:top w:val="single" w:sz="4" w:space="0" w:color="003F6C"/>
              <w:left w:val="single" w:sz="4" w:space="0" w:color="003F6C"/>
              <w:bottom w:val="single" w:sz="4" w:space="0" w:color="666666"/>
              <w:right w:val="single" w:sz="4" w:space="0" w:color="003F6C"/>
            </w:tcBorders>
            <w:shd w:val="clear" w:color="auto" w:fill="003F6C"/>
          </w:tcPr>
          <w:p w14:paraId="1BAD16BD"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Departamento / División</w:t>
            </w:r>
          </w:p>
        </w:tc>
      </w:tr>
      <w:tr w:rsidR="00242F0F" w:rsidRPr="00AB59AB" w14:paraId="1270FD63" w14:textId="77777777">
        <w:tc>
          <w:tcPr>
            <w:tcW w:w="2136" w:type="dxa"/>
            <w:tcBorders>
              <w:top w:val="single" w:sz="4" w:space="0" w:color="666666"/>
              <w:left w:val="single" w:sz="4" w:space="0" w:color="666666"/>
              <w:bottom w:val="single" w:sz="4" w:space="0" w:color="666666"/>
              <w:right w:val="single" w:sz="4" w:space="0" w:color="666666"/>
            </w:tcBorders>
          </w:tcPr>
          <w:p w14:paraId="7D8E898E"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Vicente Rivera</w:t>
            </w:r>
          </w:p>
        </w:tc>
        <w:tc>
          <w:tcPr>
            <w:tcW w:w="2244" w:type="dxa"/>
            <w:tcBorders>
              <w:top w:val="single" w:sz="4" w:space="0" w:color="666666"/>
              <w:left w:val="single" w:sz="4" w:space="0" w:color="666666"/>
              <w:bottom w:val="single" w:sz="4" w:space="0" w:color="666666"/>
              <w:right w:val="single" w:sz="4" w:space="0" w:color="666666"/>
            </w:tcBorders>
          </w:tcPr>
          <w:p w14:paraId="604017BA"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Líder backend / Jefe de Proyecto (con responsabilidades compartidas con Ignacio Fuenzalida en actividades y entregables)</w:t>
            </w:r>
          </w:p>
        </w:tc>
        <w:tc>
          <w:tcPr>
            <w:tcW w:w="2245" w:type="dxa"/>
            <w:tcBorders>
              <w:top w:val="single" w:sz="4" w:space="0" w:color="666666"/>
              <w:left w:val="single" w:sz="4" w:space="0" w:color="666666"/>
              <w:bottom w:val="single" w:sz="4" w:space="0" w:color="666666"/>
              <w:right w:val="single" w:sz="4" w:space="0" w:color="666666"/>
            </w:tcBorders>
          </w:tcPr>
          <w:p w14:paraId="15DB204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Ingeniería en Informática, Duoc UC Plaza Norte</w:t>
            </w:r>
          </w:p>
        </w:tc>
      </w:tr>
      <w:tr w:rsidR="00242F0F" w:rsidRPr="00AB59AB" w14:paraId="33A6416E" w14:textId="77777777">
        <w:tc>
          <w:tcPr>
            <w:tcW w:w="2136" w:type="dxa"/>
            <w:tcBorders>
              <w:top w:val="single" w:sz="4" w:space="0" w:color="666666"/>
              <w:left w:val="single" w:sz="4" w:space="0" w:color="666666"/>
              <w:bottom w:val="single" w:sz="4" w:space="0" w:color="666666"/>
              <w:right w:val="single" w:sz="4" w:space="0" w:color="666666"/>
            </w:tcBorders>
          </w:tcPr>
          <w:p w14:paraId="13B5730B"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Ignacio Fuenzalida</w:t>
            </w:r>
          </w:p>
        </w:tc>
        <w:tc>
          <w:tcPr>
            <w:tcW w:w="2244" w:type="dxa"/>
            <w:tcBorders>
              <w:top w:val="single" w:sz="4" w:space="0" w:color="666666"/>
              <w:left w:val="single" w:sz="4" w:space="0" w:color="666666"/>
              <w:bottom w:val="single" w:sz="4" w:space="0" w:color="666666"/>
              <w:right w:val="single" w:sz="4" w:space="0" w:color="666666"/>
            </w:tcBorders>
          </w:tcPr>
          <w:p w14:paraId="330B29B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IT frontend</w:t>
            </w:r>
          </w:p>
        </w:tc>
        <w:tc>
          <w:tcPr>
            <w:tcW w:w="2245" w:type="dxa"/>
            <w:tcBorders>
              <w:top w:val="single" w:sz="4" w:space="0" w:color="666666"/>
              <w:left w:val="single" w:sz="4" w:space="0" w:color="666666"/>
              <w:bottom w:val="single" w:sz="4" w:space="0" w:color="666666"/>
              <w:right w:val="single" w:sz="4" w:space="0" w:color="666666"/>
            </w:tcBorders>
          </w:tcPr>
          <w:p w14:paraId="4E4B23B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Ingeniería en Informática, Duoc UC Plaza Norte</w:t>
            </w:r>
          </w:p>
        </w:tc>
      </w:tr>
      <w:tr w:rsidR="00242F0F" w:rsidRPr="00AB59AB" w14:paraId="2020D710" w14:textId="77777777">
        <w:tc>
          <w:tcPr>
            <w:tcW w:w="2136" w:type="dxa"/>
            <w:tcBorders>
              <w:top w:val="single" w:sz="4" w:space="0" w:color="666666"/>
              <w:left w:val="single" w:sz="4" w:space="0" w:color="666666"/>
              <w:bottom w:val="single" w:sz="4" w:space="0" w:color="666666"/>
              <w:right w:val="single" w:sz="4" w:space="0" w:color="666666"/>
            </w:tcBorders>
          </w:tcPr>
          <w:p w14:paraId="0C28EEE8"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Duoc UC Plaza Norte</w:t>
            </w:r>
          </w:p>
        </w:tc>
        <w:tc>
          <w:tcPr>
            <w:tcW w:w="2244" w:type="dxa"/>
            <w:tcBorders>
              <w:top w:val="single" w:sz="4" w:space="0" w:color="666666"/>
              <w:left w:val="single" w:sz="4" w:space="0" w:color="666666"/>
              <w:bottom w:val="single" w:sz="4" w:space="0" w:color="666666"/>
              <w:right w:val="single" w:sz="4" w:space="0" w:color="666666"/>
            </w:tcBorders>
          </w:tcPr>
          <w:p w14:paraId="1961FADF"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Institución académica</w:t>
            </w:r>
          </w:p>
        </w:tc>
        <w:tc>
          <w:tcPr>
            <w:tcW w:w="2245" w:type="dxa"/>
            <w:tcBorders>
              <w:top w:val="single" w:sz="4" w:space="0" w:color="666666"/>
              <w:left w:val="single" w:sz="4" w:space="0" w:color="666666"/>
              <w:bottom w:val="single" w:sz="4" w:space="0" w:color="666666"/>
              <w:right w:val="single" w:sz="4" w:space="0" w:color="666666"/>
            </w:tcBorders>
          </w:tcPr>
          <w:p w14:paraId="5EE20684"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Ingeniería en Informática / proyecto Capstone</w:t>
            </w:r>
          </w:p>
        </w:tc>
      </w:tr>
      <w:tr w:rsidR="00242F0F" w:rsidRPr="00AB59AB" w14:paraId="788A3B38" w14:textId="77777777">
        <w:tc>
          <w:tcPr>
            <w:tcW w:w="2136" w:type="dxa"/>
            <w:tcBorders>
              <w:top w:val="single" w:sz="4" w:space="0" w:color="666666"/>
              <w:left w:val="single" w:sz="4" w:space="0" w:color="666666"/>
              <w:bottom w:val="single" w:sz="4" w:space="0" w:color="666666"/>
              <w:right w:val="single" w:sz="4" w:space="0" w:color="666666"/>
            </w:tcBorders>
          </w:tcPr>
          <w:p w14:paraId="26E743E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Equipo docente de la asignatura</w:t>
            </w:r>
          </w:p>
        </w:tc>
        <w:tc>
          <w:tcPr>
            <w:tcW w:w="2244" w:type="dxa"/>
            <w:tcBorders>
              <w:top w:val="single" w:sz="4" w:space="0" w:color="666666"/>
              <w:left w:val="single" w:sz="4" w:space="0" w:color="666666"/>
              <w:bottom w:val="single" w:sz="4" w:space="0" w:color="666666"/>
              <w:right w:val="single" w:sz="4" w:space="0" w:color="666666"/>
            </w:tcBorders>
          </w:tcPr>
          <w:p w14:paraId="1123B1A8"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Seguimiento académico</w:t>
            </w:r>
          </w:p>
        </w:tc>
        <w:tc>
          <w:tcPr>
            <w:tcW w:w="2245" w:type="dxa"/>
            <w:tcBorders>
              <w:top w:val="single" w:sz="4" w:space="0" w:color="666666"/>
              <w:left w:val="single" w:sz="4" w:space="0" w:color="666666"/>
              <w:bottom w:val="single" w:sz="4" w:space="0" w:color="666666"/>
              <w:right w:val="single" w:sz="4" w:space="0" w:color="666666"/>
            </w:tcBorders>
          </w:tcPr>
          <w:p w14:paraId="2163463C"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Capstone / Duoc UC Plaza Norte</w:t>
            </w:r>
          </w:p>
        </w:tc>
      </w:tr>
      <w:tr w:rsidR="00242F0F" w:rsidRPr="00AB59AB" w14:paraId="4E0D375F" w14:textId="77777777">
        <w:tc>
          <w:tcPr>
            <w:tcW w:w="2136" w:type="dxa"/>
            <w:tcBorders>
              <w:top w:val="single" w:sz="4" w:space="0" w:color="666666"/>
              <w:left w:val="single" w:sz="4" w:space="0" w:color="666666"/>
              <w:bottom w:val="single" w:sz="4" w:space="0" w:color="666666"/>
              <w:right w:val="single" w:sz="4" w:space="0" w:color="666666"/>
            </w:tcBorders>
          </w:tcPr>
          <w:p w14:paraId="6A0EC1DC"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Usuarios objetivo</w:t>
            </w:r>
          </w:p>
        </w:tc>
        <w:tc>
          <w:tcPr>
            <w:tcW w:w="2244" w:type="dxa"/>
            <w:tcBorders>
              <w:top w:val="single" w:sz="4" w:space="0" w:color="666666"/>
              <w:left w:val="single" w:sz="4" w:space="0" w:color="666666"/>
              <w:bottom w:val="single" w:sz="4" w:space="0" w:color="666666"/>
              <w:right w:val="single" w:sz="4" w:space="0" w:color="666666"/>
            </w:tcBorders>
          </w:tcPr>
          <w:p w14:paraId="5330122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Productores, compradores y comercios locales</w:t>
            </w:r>
          </w:p>
        </w:tc>
        <w:tc>
          <w:tcPr>
            <w:tcW w:w="2245" w:type="dxa"/>
            <w:tcBorders>
              <w:top w:val="single" w:sz="4" w:space="0" w:color="666666"/>
              <w:left w:val="single" w:sz="4" w:space="0" w:color="666666"/>
              <w:bottom w:val="single" w:sz="4" w:space="0" w:color="666666"/>
              <w:right w:val="single" w:sz="4" w:space="0" w:color="666666"/>
            </w:tcBorders>
          </w:tcPr>
          <w:p w14:paraId="76344378"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Mercado objetivo de CuTuCo</w:t>
            </w:r>
          </w:p>
        </w:tc>
      </w:tr>
    </w:tbl>
    <w:p w14:paraId="6C121D30" w14:textId="77777777" w:rsidR="00242F0F" w:rsidRPr="00AB59AB" w:rsidRDefault="00000000">
      <w:pPr>
        <w:pStyle w:val="Ttulo1"/>
        <w:spacing w:before="280" w:after="280"/>
        <w:ind w:left="1" w:hanging="3"/>
        <w:rPr>
          <w:rFonts w:asciiTheme="majorHAnsi" w:hAnsiTheme="majorHAnsi" w:cstheme="majorHAnsi"/>
          <w:color w:val="003F6C"/>
        </w:rPr>
      </w:pPr>
      <w:bookmarkStart w:id="13" w:name="_heading=h.2s8eyo1" w:colFirst="0" w:colLast="0"/>
      <w:bookmarkEnd w:id="13"/>
      <w:r w:rsidRPr="00AB59AB">
        <w:rPr>
          <w:rFonts w:asciiTheme="majorHAnsi" w:hAnsiTheme="majorHAnsi" w:cstheme="majorHAnsi"/>
          <w:b w:val="0"/>
        </w:rPr>
        <w:br/>
      </w:r>
      <w:r w:rsidRPr="00AB59AB">
        <w:rPr>
          <w:rFonts w:asciiTheme="majorHAnsi" w:hAnsiTheme="majorHAnsi" w:cstheme="majorHAnsi"/>
          <w:color w:val="003F6C"/>
        </w:rPr>
        <w:t>Asignación del gerente de proyecto y nivel de autoridad</w:t>
      </w:r>
    </w:p>
    <w:p w14:paraId="0DF6A6F0" w14:textId="77777777" w:rsidR="00242F0F" w:rsidRPr="00AB59AB" w:rsidRDefault="00000000">
      <w:pPr>
        <w:pStyle w:val="Ttulo2"/>
        <w:spacing w:before="280" w:after="280"/>
        <w:ind w:hanging="2"/>
        <w:rPr>
          <w:rFonts w:asciiTheme="majorHAnsi" w:hAnsiTheme="majorHAnsi" w:cstheme="majorHAnsi"/>
          <w:color w:val="666666"/>
        </w:rPr>
      </w:pPr>
      <w:r w:rsidRPr="00AB59AB">
        <w:rPr>
          <w:rFonts w:asciiTheme="majorHAnsi" w:hAnsiTheme="majorHAnsi" w:cstheme="majorHAnsi"/>
          <w:color w:val="666666"/>
        </w:rPr>
        <w:t>Gerente de proyecto</w:t>
      </w:r>
    </w:p>
    <w:p w14:paraId="4A6EF943" w14:textId="77777777" w:rsidR="00242F0F" w:rsidRPr="00AB59AB" w:rsidRDefault="00000000">
      <w:pPr>
        <w:pStyle w:val="Ttulo2"/>
        <w:spacing w:before="280" w:after="280"/>
        <w:ind w:hanging="2"/>
        <w:rPr>
          <w:rFonts w:asciiTheme="majorHAnsi" w:hAnsiTheme="majorHAnsi" w:cstheme="majorHAnsi"/>
          <w:color w:val="666666"/>
        </w:rPr>
      </w:pPr>
      <w:r w:rsidRPr="00AB59AB">
        <w:rPr>
          <w:rFonts w:asciiTheme="majorHAnsi" w:hAnsiTheme="majorHAnsi" w:cstheme="majorHAnsi"/>
          <w:sz w:val="16"/>
        </w:rPr>
        <w:t>Contacto autorizado: Vicente Rivera | RUT 21.768.183-9 | Líder backend / Jefe de Proyecto (con responsabilidades compartidas con Ignacio Fuenzalida en actividades y entregables) | Ingeniería en Informática, Duoc UC Plaza Norte</w:t>
      </w:r>
    </w:p>
    <w:tbl>
      <w:tblPr>
        <w:tblStyle w:val="af3"/>
        <w:tblW w:w="6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6"/>
        <w:gridCol w:w="2244"/>
        <w:gridCol w:w="2245"/>
      </w:tblGrid>
      <w:tr w:rsidR="00242F0F" w:rsidRPr="00AB59AB" w14:paraId="1A407271" w14:textId="77777777">
        <w:tc>
          <w:tcPr>
            <w:tcW w:w="2136" w:type="dxa"/>
            <w:tcBorders>
              <w:top w:val="single" w:sz="4" w:space="0" w:color="003F6C"/>
              <w:left w:val="single" w:sz="4" w:space="0" w:color="003F6C"/>
              <w:bottom w:val="single" w:sz="4" w:space="0" w:color="666666"/>
              <w:right w:val="single" w:sz="4" w:space="0" w:color="003F6C"/>
            </w:tcBorders>
            <w:shd w:val="clear" w:color="auto" w:fill="003F6C"/>
          </w:tcPr>
          <w:p w14:paraId="1E5D6266"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Nombre</w:t>
            </w:r>
          </w:p>
        </w:tc>
        <w:tc>
          <w:tcPr>
            <w:tcW w:w="2244" w:type="dxa"/>
            <w:tcBorders>
              <w:top w:val="single" w:sz="4" w:space="0" w:color="003F6C"/>
              <w:left w:val="single" w:sz="4" w:space="0" w:color="003F6C"/>
              <w:bottom w:val="single" w:sz="4" w:space="0" w:color="666666"/>
              <w:right w:val="single" w:sz="4" w:space="0" w:color="003F6C"/>
            </w:tcBorders>
            <w:shd w:val="clear" w:color="auto" w:fill="003F6C"/>
          </w:tcPr>
          <w:p w14:paraId="7F949B79"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Cargo</w:t>
            </w:r>
          </w:p>
        </w:tc>
        <w:tc>
          <w:tcPr>
            <w:tcW w:w="2245" w:type="dxa"/>
            <w:tcBorders>
              <w:top w:val="single" w:sz="4" w:space="0" w:color="003F6C"/>
              <w:left w:val="single" w:sz="4" w:space="0" w:color="003F6C"/>
              <w:bottom w:val="single" w:sz="4" w:space="0" w:color="666666"/>
              <w:right w:val="single" w:sz="4" w:space="0" w:color="003F6C"/>
            </w:tcBorders>
            <w:shd w:val="clear" w:color="auto" w:fill="003F6C"/>
          </w:tcPr>
          <w:p w14:paraId="031D688C"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Departamento / División</w:t>
            </w:r>
          </w:p>
        </w:tc>
      </w:tr>
      <w:tr w:rsidR="00242F0F" w:rsidRPr="00AB59AB" w14:paraId="6A16C227" w14:textId="77777777">
        <w:tc>
          <w:tcPr>
            <w:tcW w:w="2136" w:type="dxa"/>
            <w:tcBorders>
              <w:top w:val="single" w:sz="4" w:space="0" w:color="666666"/>
              <w:left w:val="single" w:sz="4" w:space="0" w:color="666666"/>
              <w:bottom w:val="single" w:sz="4" w:space="0" w:color="666666"/>
              <w:right w:val="single" w:sz="4" w:space="0" w:color="666666"/>
            </w:tcBorders>
          </w:tcPr>
          <w:p w14:paraId="357319A4"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Vicente Rivera</w:t>
            </w:r>
          </w:p>
        </w:tc>
        <w:tc>
          <w:tcPr>
            <w:tcW w:w="2244" w:type="dxa"/>
            <w:tcBorders>
              <w:top w:val="single" w:sz="4" w:space="0" w:color="666666"/>
              <w:left w:val="single" w:sz="4" w:space="0" w:color="666666"/>
              <w:bottom w:val="single" w:sz="4" w:space="0" w:color="666666"/>
              <w:right w:val="single" w:sz="4" w:space="0" w:color="666666"/>
            </w:tcBorders>
          </w:tcPr>
          <w:p w14:paraId="1BAB8917"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Líder backend / Jefe de Proyecto (con responsabilidades compartidas con Ignacio Fuenzalida en actividades y entregables)</w:t>
            </w:r>
          </w:p>
        </w:tc>
        <w:tc>
          <w:tcPr>
            <w:tcW w:w="2245" w:type="dxa"/>
            <w:tcBorders>
              <w:top w:val="single" w:sz="4" w:space="0" w:color="666666"/>
              <w:left w:val="single" w:sz="4" w:space="0" w:color="666666"/>
              <w:bottom w:val="single" w:sz="4" w:space="0" w:color="666666"/>
              <w:right w:val="single" w:sz="4" w:space="0" w:color="666666"/>
            </w:tcBorders>
          </w:tcPr>
          <w:p w14:paraId="1EB6E90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Ingeniería en Informática, Duoc UC Plaza Norte</w:t>
            </w:r>
          </w:p>
        </w:tc>
      </w:tr>
    </w:tbl>
    <w:p w14:paraId="062341BD" w14:textId="77777777" w:rsidR="00242F0F" w:rsidRPr="00AB59AB" w:rsidRDefault="00000000">
      <w:pPr>
        <w:pStyle w:val="Ttulo2"/>
        <w:spacing w:before="280" w:after="280"/>
        <w:ind w:hanging="2"/>
        <w:rPr>
          <w:rFonts w:asciiTheme="majorHAnsi" w:hAnsiTheme="majorHAnsi" w:cstheme="majorHAnsi"/>
          <w:color w:val="666666"/>
        </w:rPr>
      </w:pPr>
      <w:bookmarkStart w:id="14" w:name="_heading=h.17dp8vu" w:colFirst="0" w:colLast="0"/>
      <w:bookmarkEnd w:id="14"/>
      <w:r w:rsidRPr="00AB59AB">
        <w:rPr>
          <w:rFonts w:asciiTheme="majorHAnsi" w:hAnsiTheme="majorHAnsi" w:cstheme="majorHAnsi"/>
          <w:b w:val="0"/>
        </w:rPr>
        <w:br/>
      </w:r>
      <w:r w:rsidRPr="00AB59AB">
        <w:rPr>
          <w:rFonts w:asciiTheme="majorHAnsi" w:hAnsiTheme="majorHAnsi" w:cstheme="majorHAnsi"/>
          <w:color w:val="666666"/>
        </w:rPr>
        <w:t>Niveles de autoridad</w:t>
      </w:r>
    </w:p>
    <w:tbl>
      <w:tblPr>
        <w:tblStyle w:val="af4"/>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56"/>
        <w:gridCol w:w="5614"/>
      </w:tblGrid>
      <w:tr w:rsidR="00242F0F" w:rsidRPr="00AB59AB" w14:paraId="09578272" w14:textId="77777777">
        <w:tc>
          <w:tcPr>
            <w:tcW w:w="3256" w:type="dxa"/>
            <w:tcBorders>
              <w:top w:val="single" w:sz="4" w:space="0" w:color="003F6C"/>
              <w:left w:val="single" w:sz="4" w:space="0" w:color="003F6C"/>
              <w:bottom w:val="single" w:sz="4" w:space="0" w:color="003F6C"/>
              <w:right w:val="single" w:sz="4" w:space="0" w:color="003F6C"/>
            </w:tcBorders>
            <w:shd w:val="clear" w:color="auto" w:fill="003F6C"/>
          </w:tcPr>
          <w:p w14:paraId="119DB4E6"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Área de autoridad</w:t>
            </w:r>
          </w:p>
        </w:tc>
        <w:tc>
          <w:tcPr>
            <w:tcW w:w="5614" w:type="dxa"/>
            <w:tcBorders>
              <w:top w:val="single" w:sz="4" w:space="0" w:color="003F6C"/>
              <w:left w:val="single" w:sz="4" w:space="0" w:color="003F6C"/>
              <w:bottom w:val="single" w:sz="4" w:space="0" w:color="666666"/>
              <w:right w:val="single" w:sz="4" w:space="0" w:color="003F6C"/>
            </w:tcBorders>
            <w:shd w:val="clear" w:color="auto" w:fill="003F6C"/>
          </w:tcPr>
          <w:p w14:paraId="6A3188BC"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Descripción del nivel de autoridad</w:t>
            </w:r>
          </w:p>
        </w:tc>
      </w:tr>
      <w:tr w:rsidR="00242F0F" w:rsidRPr="00AB59AB" w14:paraId="3B8FA13C"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7D340356" w14:textId="77777777" w:rsidR="00242F0F" w:rsidRPr="00AB59AB" w:rsidRDefault="00000000">
            <w:pPr>
              <w:spacing w:after="0" w:line="240" w:lineRule="auto"/>
              <w:rPr>
                <w:rFonts w:asciiTheme="majorHAnsi" w:hAnsiTheme="majorHAnsi" w:cstheme="majorHAnsi"/>
                <w:color w:val="FFFFFF" w:themeColor="background1"/>
              </w:rPr>
            </w:pPr>
            <w:r w:rsidRPr="00AB59AB">
              <w:rPr>
                <w:rFonts w:asciiTheme="majorHAnsi" w:hAnsiTheme="majorHAnsi" w:cstheme="majorHAnsi"/>
                <w:color w:val="FFFFFF" w:themeColor="background1"/>
                <w:sz w:val="15"/>
              </w:rPr>
              <w:t>Decisiones de personal (</w:t>
            </w:r>
            <w:proofErr w:type="spellStart"/>
            <w:r w:rsidRPr="00AB59AB">
              <w:rPr>
                <w:rFonts w:asciiTheme="majorHAnsi" w:hAnsiTheme="majorHAnsi" w:cstheme="majorHAnsi"/>
                <w:color w:val="FFFFFF" w:themeColor="background1"/>
                <w:sz w:val="15"/>
              </w:rPr>
              <w:t>Staffing</w:t>
            </w:r>
            <w:proofErr w:type="spellEnd"/>
            <w:r w:rsidRPr="00AB59AB">
              <w:rPr>
                <w:rFonts w:asciiTheme="majorHAnsi" w:hAnsiTheme="majorHAnsi" w:cstheme="majorHAnsi"/>
                <w:color w:val="FFFFFF" w:themeColor="background1"/>
                <w:sz w:val="15"/>
              </w:rPr>
              <w:t>)</w:t>
            </w:r>
          </w:p>
        </w:tc>
        <w:tc>
          <w:tcPr>
            <w:tcW w:w="5614" w:type="dxa"/>
            <w:tcBorders>
              <w:top w:val="single" w:sz="4" w:space="0" w:color="666666"/>
              <w:left w:val="single" w:sz="4" w:space="0" w:color="003F6C"/>
              <w:bottom w:val="single" w:sz="4" w:space="0" w:color="666666"/>
              <w:right w:val="single" w:sz="4" w:space="0" w:color="666666"/>
            </w:tcBorders>
          </w:tcPr>
          <w:p w14:paraId="4F70F5B9"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No contemplamos contratación. El equipo está compuesto por dos personas. Repartiremos el trabajo entre backend y frontend, pero mantendremos compartidas la arquitectura, las pruebas, la documentación, el control de cambios y la coordinación.</w:t>
            </w:r>
          </w:p>
        </w:tc>
      </w:tr>
      <w:tr w:rsidR="00242F0F" w:rsidRPr="00AB59AB" w14:paraId="05FFA386"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10294B46" w14:textId="77777777" w:rsidR="00242F0F" w:rsidRPr="00AB59AB" w:rsidRDefault="00000000">
            <w:pPr>
              <w:spacing w:after="0" w:line="240" w:lineRule="auto"/>
              <w:rPr>
                <w:rFonts w:asciiTheme="majorHAnsi" w:hAnsiTheme="majorHAnsi" w:cstheme="majorHAnsi"/>
                <w:color w:val="FFFFFF" w:themeColor="background1"/>
              </w:rPr>
            </w:pPr>
            <w:r w:rsidRPr="00AB59AB">
              <w:rPr>
                <w:rFonts w:asciiTheme="majorHAnsi" w:hAnsiTheme="majorHAnsi" w:cstheme="majorHAnsi"/>
                <w:color w:val="FFFFFF" w:themeColor="background1"/>
                <w:sz w:val="15"/>
              </w:rPr>
              <w:t>Gestión de presupuesto y de sus variaciones</w:t>
            </w:r>
          </w:p>
        </w:tc>
        <w:tc>
          <w:tcPr>
            <w:tcW w:w="5614" w:type="dxa"/>
            <w:tcBorders>
              <w:top w:val="single" w:sz="4" w:space="0" w:color="666666"/>
              <w:left w:val="single" w:sz="4" w:space="0" w:color="003F6C"/>
              <w:bottom w:val="single" w:sz="4" w:space="0" w:color="666666"/>
              <w:right w:val="single" w:sz="4" w:space="0" w:color="666666"/>
            </w:tcBorders>
          </w:tcPr>
          <w:p w14:paraId="1B39730E"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Controlaremos los costos dentro del alcance académico. Revisaremos entre ambos cualquier gasto nuevo y no comprometeremos infraestructura productiva que quede fuera del presupuesto o de la planificación del MVP.</w:t>
            </w:r>
          </w:p>
        </w:tc>
      </w:tr>
      <w:tr w:rsidR="00242F0F" w:rsidRPr="00AB59AB" w14:paraId="3DA2589A"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3B311170" w14:textId="77777777" w:rsidR="00242F0F" w:rsidRPr="00AB59AB" w:rsidRDefault="00000000">
            <w:pPr>
              <w:spacing w:after="0" w:line="240" w:lineRule="auto"/>
              <w:rPr>
                <w:rFonts w:asciiTheme="majorHAnsi" w:hAnsiTheme="majorHAnsi" w:cstheme="majorHAnsi"/>
                <w:color w:val="FFFFFF" w:themeColor="background1"/>
              </w:rPr>
            </w:pPr>
            <w:r w:rsidRPr="00AB59AB">
              <w:rPr>
                <w:rFonts w:asciiTheme="majorHAnsi" w:hAnsiTheme="majorHAnsi" w:cstheme="majorHAnsi"/>
                <w:color w:val="FFFFFF" w:themeColor="background1"/>
                <w:sz w:val="15"/>
              </w:rPr>
              <w:t>Decisiones técnicas</w:t>
            </w:r>
          </w:p>
        </w:tc>
        <w:tc>
          <w:tcPr>
            <w:tcW w:w="5614" w:type="dxa"/>
            <w:tcBorders>
              <w:top w:val="single" w:sz="4" w:space="0" w:color="666666"/>
              <w:left w:val="single" w:sz="4" w:space="0" w:color="003F6C"/>
              <w:bottom w:val="single" w:sz="4" w:space="0" w:color="666666"/>
              <w:right w:val="single" w:sz="4" w:space="0" w:color="666666"/>
            </w:tcBorders>
          </w:tcPr>
          <w:p w14:paraId="6476D3A5"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Distribuiremos las decisiones técnicas según nuestras responsabilidades principales. Las decisiones que afecten autenticación, RLS, persistencia, Webpay, pagos, seguridad o alcance completo las revisaremos y acordaremos entre ambos.</w:t>
            </w:r>
          </w:p>
        </w:tc>
      </w:tr>
      <w:tr w:rsidR="00242F0F" w:rsidRPr="00AB59AB" w14:paraId="3BC15235"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182DE8DC" w14:textId="77777777" w:rsidR="00242F0F" w:rsidRPr="00AB59AB" w:rsidRDefault="00000000">
            <w:pPr>
              <w:spacing w:after="0" w:line="240" w:lineRule="auto"/>
              <w:rPr>
                <w:rFonts w:asciiTheme="majorHAnsi" w:hAnsiTheme="majorHAnsi" w:cstheme="majorHAnsi"/>
                <w:color w:val="FFFFFF" w:themeColor="background1"/>
              </w:rPr>
            </w:pPr>
            <w:r w:rsidRPr="00AB59AB">
              <w:rPr>
                <w:rFonts w:asciiTheme="majorHAnsi" w:hAnsiTheme="majorHAnsi" w:cstheme="majorHAnsi"/>
                <w:color w:val="FFFFFF" w:themeColor="background1"/>
                <w:sz w:val="15"/>
              </w:rPr>
              <w:t>Resolución de conflictos</w:t>
            </w:r>
          </w:p>
        </w:tc>
        <w:tc>
          <w:tcPr>
            <w:tcW w:w="5614" w:type="dxa"/>
            <w:tcBorders>
              <w:top w:val="single" w:sz="4" w:space="0" w:color="666666"/>
              <w:left w:val="single" w:sz="4" w:space="0" w:color="003F6C"/>
              <w:bottom w:val="single" w:sz="4" w:space="0" w:color="666666"/>
              <w:right w:val="single" w:sz="4" w:space="0" w:color="666666"/>
            </w:tcBorders>
          </w:tcPr>
          <w:p w14:paraId="344AFC64"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Cuando exista una diferencia técnica o de planificación, nosotros compararemos alternativas según impacto en tiempo, riesgo, dependencias, calidad y alcance. Buscaremos una decisión conjunta y dejaremos registro cuando la decisión sea relevante.</w:t>
            </w:r>
          </w:p>
        </w:tc>
      </w:tr>
      <w:tr w:rsidR="00242F0F" w:rsidRPr="00AB59AB" w14:paraId="44980341" w14:textId="77777777">
        <w:tc>
          <w:tcPr>
            <w:tcW w:w="3256" w:type="dxa"/>
            <w:tcBorders>
              <w:top w:val="single" w:sz="4" w:space="0" w:color="003F6C"/>
              <w:left w:val="single" w:sz="4" w:space="0" w:color="003F6C"/>
              <w:bottom w:val="single" w:sz="4" w:space="0" w:color="003F6C"/>
              <w:right w:val="single" w:sz="4" w:space="0" w:color="003F6C"/>
            </w:tcBorders>
            <w:shd w:val="clear" w:color="auto" w:fill="005693"/>
          </w:tcPr>
          <w:p w14:paraId="027B98D8" w14:textId="77777777" w:rsidR="00242F0F" w:rsidRPr="00AB59AB" w:rsidRDefault="00000000">
            <w:pPr>
              <w:spacing w:after="0" w:line="240" w:lineRule="auto"/>
              <w:rPr>
                <w:rFonts w:asciiTheme="majorHAnsi" w:hAnsiTheme="majorHAnsi" w:cstheme="majorHAnsi"/>
                <w:color w:val="FFFFFF" w:themeColor="background1"/>
              </w:rPr>
            </w:pPr>
            <w:r w:rsidRPr="00AB59AB">
              <w:rPr>
                <w:rFonts w:asciiTheme="majorHAnsi" w:hAnsiTheme="majorHAnsi" w:cstheme="majorHAnsi"/>
                <w:color w:val="FFFFFF" w:themeColor="background1"/>
                <w:sz w:val="15"/>
              </w:rPr>
              <w:t>Ruta de escalamiento y limitaciones de autoridad</w:t>
            </w:r>
          </w:p>
        </w:tc>
        <w:tc>
          <w:tcPr>
            <w:tcW w:w="5614" w:type="dxa"/>
            <w:tcBorders>
              <w:top w:val="single" w:sz="4" w:space="0" w:color="666666"/>
              <w:left w:val="single" w:sz="4" w:space="0" w:color="003F6C"/>
              <w:bottom w:val="single" w:sz="4" w:space="0" w:color="666666"/>
              <w:right w:val="single" w:sz="4" w:space="0" w:color="666666"/>
            </w:tcBorders>
          </w:tcPr>
          <w:p w14:paraId="5AA344EC"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Primero resolveremos los bloqueos dentro del equipo. Si un problema requiere una decisión académica o afecta el alcance comprometido, lo elevaremos al responsable académico de la asignatura. No estamos autorizados a asumir compromisos institucionales, gastos relevantes o funciones fuera del alcance sin la aprobación correspondiente.</w:t>
            </w:r>
          </w:p>
        </w:tc>
      </w:tr>
    </w:tbl>
    <w:p w14:paraId="16C1A637" w14:textId="77777777" w:rsidR="00242F0F" w:rsidRPr="00AB59AB" w:rsidRDefault="00000000">
      <w:pPr>
        <w:pStyle w:val="Ttulo1"/>
        <w:pageBreakBefore/>
        <w:spacing w:before="280" w:after="280"/>
        <w:ind w:left="1" w:hanging="3"/>
        <w:rPr>
          <w:rFonts w:asciiTheme="majorHAnsi" w:hAnsiTheme="majorHAnsi" w:cstheme="majorHAnsi"/>
          <w:color w:val="003F6C"/>
        </w:rPr>
      </w:pPr>
      <w:bookmarkStart w:id="15" w:name="_heading=h.1s8heyk2poe1" w:colFirst="0" w:colLast="0"/>
      <w:bookmarkEnd w:id="15"/>
      <w:r w:rsidRPr="00AB59AB">
        <w:rPr>
          <w:rFonts w:asciiTheme="majorHAnsi" w:hAnsiTheme="majorHAnsi" w:cstheme="majorHAnsi"/>
          <w:color w:val="003F6C"/>
        </w:rPr>
        <w:lastRenderedPageBreak/>
        <w:t xml:space="preserve">Personal y recursos </w:t>
      </w:r>
      <w:proofErr w:type="gramStart"/>
      <w:r w:rsidRPr="00AB59AB">
        <w:rPr>
          <w:rFonts w:asciiTheme="majorHAnsi" w:hAnsiTheme="majorHAnsi" w:cstheme="majorHAnsi"/>
          <w:color w:val="003F6C"/>
        </w:rPr>
        <w:t>pre asignados</w:t>
      </w:r>
      <w:proofErr w:type="gramEnd"/>
    </w:p>
    <w:tbl>
      <w:tblPr>
        <w:tblStyle w:val="af5"/>
        <w:tblW w:w="88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80"/>
        <w:gridCol w:w="4485"/>
      </w:tblGrid>
      <w:tr w:rsidR="00242F0F" w:rsidRPr="00AB59AB" w14:paraId="6711CD8F" w14:textId="77777777">
        <w:tc>
          <w:tcPr>
            <w:tcW w:w="4380" w:type="dxa"/>
            <w:tcBorders>
              <w:top w:val="single" w:sz="4" w:space="0" w:color="003F6C"/>
              <w:left w:val="single" w:sz="4" w:space="0" w:color="003F6C"/>
              <w:bottom w:val="single" w:sz="4" w:space="0" w:color="003F6C"/>
              <w:right w:val="single" w:sz="4" w:space="0" w:color="003F6C"/>
            </w:tcBorders>
            <w:shd w:val="clear" w:color="auto" w:fill="003F6C"/>
          </w:tcPr>
          <w:p w14:paraId="1E12380A"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Recurso</w:t>
            </w:r>
          </w:p>
        </w:tc>
        <w:tc>
          <w:tcPr>
            <w:tcW w:w="4485" w:type="dxa"/>
            <w:tcBorders>
              <w:top w:val="single" w:sz="4" w:space="0" w:color="003F6C"/>
              <w:left w:val="single" w:sz="4" w:space="0" w:color="003F6C"/>
              <w:bottom w:val="single" w:sz="4" w:space="0" w:color="003F6C"/>
              <w:right w:val="single" w:sz="4" w:space="0" w:color="003F6C"/>
            </w:tcBorders>
            <w:shd w:val="clear" w:color="auto" w:fill="003F6C"/>
          </w:tcPr>
          <w:p w14:paraId="3BFCA9FB" w14:textId="77777777" w:rsidR="00242F0F" w:rsidRPr="00AB59AB" w:rsidRDefault="00000000">
            <w:pP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Departamento / División</w:t>
            </w:r>
          </w:p>
        </w:tc>
      </w:tr>
      <w:tr w:rsidR="00242F0F" w:rsidRPr="00AB59AB" w14:paraId="71D4C095" w14:textId="77777777">
        <w:tc>
          <w:tcPr>
            <w:tcW w:w="4380" w:type="dxa"/>
            <w:tcBorders>
              <w:top w:val="single" w:sz="4" w:space="0" w:color="003F6C"/>
              <w:left w:val="single" w:sz="4" w:space="0" w:color="666666"/>
              <w:bottom w:val="single" w:sz="4" w:space="0" w:color="666666"/>
              <w:right w:val="single" w:sz="4" w:space="0" w:color="666666"/>
            </w:tcBorders>
          </w:tcPr>
          <w:p w14:paraId="3107DCD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Repositorio y control de versiones Git/GitHub</w:t>
            </w:r>
          </w:p>
        </w:tc>
        <w:tc>
          <w:tcPr>
            <w:tcW w:w="4485" w:type="dxa"/>
            <w:tcBorders>
              <w:top w:val="single" w:sz="4" w:space="0" w:color="003F6C"/>
              <w:left w:val="single" w:sz="4" w:space="0" w:color="666666"/>
              <w:bottom w:val="single" w:sz="4" w:space="0" w:color="666666"/>
              <w:right w:val="single" w:sz="4" w:space="0" w:color="666666"/>
            </w:tcBorders>
          </w:tcPr>
          <w:p w14:paraId="15AEE6B1"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Equipo de desarrollo / compartido</w:t>
            </w:r>
          </w:p>
        </w:tc>
      </w:tr>
      <w:tr w:rsidR="00242F0F" w:rsidRPr="00AB59AB" w14:paraId="0BD546C4" w14:textId="77777777">
        <w:tc>
          <w:tcPr>
            <w:tcW w:w="4380" w:type="dxa"/>
            <w:tcBorders>
              <w:top w:val="single" w:sz="4" w:space="0" w:color="666666"/>
              <w:left w:val="single" w:sz="4" w:space="0" w:color="666666"/>
              <w:bottom w:val="single" w:sz="4" w:space="0" w:color="666666"/>
              <w:right w:val="single" w:sz="4" w:space="0" w:color="666666"/>
            </w:tcBorders>
          </w:tcPr>
          <w:p w14:paraId="09ECFB62"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Frontend Vue.js + Vite y despliegue Vercel</w:t>
            </w:r>
          </w:p>
        </w:tc>
        <w:tc>
          <w:tcPr>
            <w:tcW w:w="4485" w:type="dxa"/>
            <w:tcBorders>
              <w:top w:val="single" w:sz="4" w:space="0" w:color="666666"/>
              <w:left w:val="single" w:sz="4" w:space="0" w:color="666666"/>
              <w:bottom w:val="single" w:sz="4" w:space="0" w:color="666666"/>
              <w:right w:val="single" w:sz="4" w:space="0" w:color="666666"/>
            </w:tcBorders>
          </w:tcPr>
          <w:p w14:paraId="63749DC4"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Frontend / Ignacio Fuenzalida</w:t>
            </w:r>
          </w:p>
        </w:tc>
      </w:tr>
      <w:tr w:rsidR="00242F0F" w:rsidRPr="00AB59AB" w14:paraId="6FC8DA96" w14:textId="77777777">
        <w:tc>
          <w:tcPr>
            <w:tcW w:w="4380" w:type="dxa"/>
            <w:tcBorders>
              <w:top w:val="single" w:sz="4" w:space="0" w:color="666666"/>
              <w:left w:val="single" w:sz="4" w:space="0" w:color="666666"/>
              <w:bottom w:val="single" w:sz="4" w:space="0" w:color="666666"/>
              <w:right w:val="single" w:sz="4" w:space="0" w:color="666666"/>
            </w:tcBorders>
          </w:tcPr>
          <w:p w14:paraId="10088986"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FastAPI + Python + Docker + Cloud Run, acotado a la lógica específica de la integración con Webpay (Transbank)</w:t>
            </w:r>
          </w:p>
        </w:tc>
        <w:tc>
          <w:tcPr>
            <w:tcW w:w="4485" w:type="dxa"/>
            <w:tcBorders>
              <w:top w:val="single" w:sz="4" w:space="0" w:color="666666"/>
              <w:left w:val="single" w:sz="4" w:space="0" w:color="666666"/>
              <w:bottom w:val="single" w:sz="4" w:space="0" w:color="666666"/>
              <w:right w:val="single" w:sz="4" w:space="0" w:color="666666"/>
            </w:tcBorders>
          </w:tcPr>
          <w:p w14:paraId="329095A0"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Backend / Vicente Rivera</w:t>
            </w:r>
          </w:p>
        </w:tc>
      </w:tr>
      <w:tr w:rsidR="00242F0F" w:rsidRPr="00AB59AB" w14:paraId="772774CA" w14:textId="77777777">
        <w:tc>
          <w:tcPr>
            <w:tcW w:w="4380" w:type="dxa"/>
            <w:tcBorders>
              <w:top w:val="single" w:sz="4" w:space="0" w:color="666666"/>
              <w:left w:val="single" w:sz="4" w:space="0" w:color="666666"/>
              <w:bottom w:val="single" w:sz="4" w:space="0" w:color="666666"/>
              <w:right w:val="single" w:sz="4" w:space="0" w:color="666666"/>
            </w:tcBorders>
          </w:tcPr>
          <w:p w14:paraId="0776A6EE"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PostgreSQL en Supabase + Supabase Auth (GoTrue) + PostgREST + RLS</w:t>
            </w:r>
          </w:p>
        </w:tc>
        <w:tc>
          <w:tcPr>
            <w:tcW w:w="4485" w:type="dxa"/>
            <w:tcBorders>
              <w:top w:val="single" w:sz="4" w:space="0" w:color="666666"/>
              <w:left w:val="single" w:sz="4" w:space="0" w:color="666666"/>
              <w:bottom w:val="single" w:sz="4" w:space="0" w:color="666666"/>
              <w:right w:val="single" w:sz="4" w:space="0" w:color="666666"/>
            </w:tcBorders>
          </w:tcPr>
          <w:p w14:paraId="6DEEA471"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Datos y autenticación / Backend y compartido</w:t>
            </w:r>
          </w:p>
        </w:tc>
      </w:tr>
      <w:tr w:rsidR="00242F0F" w:rsidRPr="00AB59AB" w14:paraId="2317D064" w14:textId="77777777" w:rsidTr="004A35AE">
        <w:trPr>
          <w:trHeight w:val="267"/>
        </w:trPr>
        <w:tc>
          <w:tcPr>
            <w:tcW w:w="4380" w:type="dxa"/>
            <w:tcBorders>
              <w:top w:val="single" w:sz="4" w:space="0" w:color="666666"/>
              <w:left w:val="single" w:sz="4" w:space="0" w:color="666666"/>
              <w:bottom w:val="single" w:sz="4" w:space="0" w:color="666666"/>
              <w:right w:val="single" w:sz="4" w:space="0" w:color="666666"/>
            </w:tcBorders>
          </w:tcPr>
          <w:p w14:paraId="3FB85F65"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Webpay Mall (Transbank, Split Payment) + Resend SMTP/API + políticas de acceso y permisos de almacenamiento para los documentos de postulación</w:t>
            </w:r>
          </w:p>
        </w:tc>
        <w:tc>
          <w:tcPr>
            <w:tcW w:w="4485" w:type="dxa"/>
            <w:tcBorders>
              <w:top w:val="single" w:sz="4" w:space="0" w:color="666666"/>
              <w:left w:val="single" w:sz="4" w:space="0" w:color="666666"/>
              <w:bottom w:val="single" w:sz="4" w:space="0" w:color="666666"/>
              <w:right w:val="single" w:sz="4" w:space="0" w:color="666666"/>
            </w:tcBorders>
          </w:tcPr>
          <w:p w14:paraId="1F3082D4"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5"/>
              </w:rPr>
              <w:t>Pagos, comunicaciones y seguridad / Backend</w:t>
            </w:r>
          </w:p>
        </w:tc>
      </w:tr>
    </w:tbl>
    <w:p w14:paraId="63A249D8" w14:textId="77777777" w:rsidR="00242F0F" w:rsidRPr="00AB59AB" w:rsidRDefault="00242F0F">
      <w:pPr>
        <w:pStyle w:val="Ttulo1"/>
        <w:spacing w:before="280" w:after="280"/>
        <w:ind w:left="1" w:hanging="3"/>
        <w:rPr>
          <w:rFonts w:asciiTheme="majorHAnsi" w:hAnsiTheme="majorHAnsi" w:cstheme="majorHAnsi"/>
          <w:b w:val="0"/>
        </w:rPr>
      </w:pPr>
      <w:bookmarkStart w:id="16" w:name="_heading=h.26in1rg" w:colFirst="0" w:colLast="0"/>
      <w:bookmarkEnd w:id="16"/>
    </w:p>
    <w:p w14:paraId="63F7C22D" w14:textId="77777777" w:rsidR="00242F0F" w:rsidRPr="00AB59AB" w:rsidRDefault="00000000">
      <w:pPr>
        <w:pStyle w:val="Ttulo1"/>
        <w:spacing w:before="280" w:after="280"/>
        <w:ind w:left="1" w:hanging="3"/>
        <w:rPr>
          <w:rFonts w:asciiTheme="majorHAnsi" w:hAnsiTheme="majorHAnsi" w:cstheme="majorHAnsi"/>
          <w:color w:val="003F6C"/>
        </w:rPr>
      </w:pPr>
      <w:r w:rsidRPr="00AB59AB">
        <w:rPr>
          <w:rFonts w:asciiTheme="majorHAnsi" w:hAnsiTheme="majorHAnsi" w:cstheme="majorHAnsi"/>
          <w:color w:val="003F6C"/>
        </w:rPr>
        <w:t>Aprobaciones</w:t>
      </w:r>
    </w:p>
    <w:tbl>
      <w:tblPr>
        <w:tblStyle w:val="af6"/>
        <w:tblW w:w="88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11"/>
        <w:gridCol w:w="1766"/>
        <w:gridCol w:w="2993"/>
      </w:tblGrid>
      <w:tr w:rsidR="00242F0F" w:rsidRPr="00AB59AB" w14:paraId="52F7542E" w14:textId="77777777">
        <w:tc>
          <w:tcPr>
            <w:tcW w:w="4111" w:type="dxa"/>
            <w:tcBorders>
              <w:top w:val="single" w:sz="4" w:space="0" w:color="003F6C"/>
              <w:left w:val="single" w:sz="4" w:space="0" w:color="003F6C"/>
              <w:bottom w:val="single" w:sz="4" w:space="0" w:color="003F6C"/>
              <w:right w:val="single" w:sz="4" w:space="0" w:color="003F6C"/>
            </w:tcBorders>
            <w:shd w:val="clear" w:color="auto" w:fill="003F6C"/>
          </w:tcPr>
          <w:p w14:paraId="32E128F7" w14:textId="77777777" w:rsidR="00242F0F" w:rsidRPr="00AB59A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Patrocinador</w:t>
            </w:r>
          </w:p>
        </w:tc>
        <w:tc>
          <w:tcPr>
            <w:tcW w:w="1766" w:type="dxa"/>
            <w:tcBorders>
              <w:top w:val="single" w:sz="4" w:space="0" w:color="003F6C"/>
              <w:left w:val="single" w:sz="4" w:space="0" w:color="003F6C"/>
              <w:bottom w:val="single" w:sz="4" w:space="0" w:color="003F6C"/>
              <w:right w:val="single" w:sz="4" w:space="0" w:color="003F6C"/>
            </w:tcBorders>
            <w:shd w:val="clear" w:color="auto" w:fill="003F6C"/>
          </w:tcPr>
          <w:p w14:paraId="02ED65CC" w14:textId="77777777" w:rsidR="00242F0F" w:rsidRPr="00AB59A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Fecha</w:t>
            </w:r>
          </w:p>
        </w:tc>
        <w:tc>
          <w:tcPr>
            <w:tcW w:w="2993" w:type="dxa"/>
            <w:tcBorders>
              <w:top w:val="single" w:sz="4" w:space="0" w:color="003F6C"/>
              <w:left w:val="single" w:sz="4" w:space="0" w:color="003F6C"/>
              <w:bottom w:val="single" w:sz="4" w:space="0" w:color="003F6C"/>
              <w:right w:val="single" w:sz="4" w:space="0" w:color="003F6C"/>
            </w:tcBorders>
            <w:shd w:val="clear" w:color="auto" w:fill="003F6C"/>
          </w:tcPr>
          <w:p w14:paraId="68670352" w14:textId="77777777" w:rsidR="00242F0F" w:rsidRPr="00AB59AB" w:rsidRDefault="00000000">
            <w:pPr>
              <w:pBdr>
                <w:top w:val="nil"/>
                <w:left w:val="nil"/>
                <w:bottom w:val="nil"/>
                <w:right w:val="nil"/>
                <w:between w:val="nil"/>
              </w:pBdr>
              <w:spacing w:after="0" w:line="240" w:lineRule="auto"/>
              <w:ind w:hanging="2"/>
              <w:jc w:val="center"/>
              <w:rPr>
                <w:rFonts w:asciiTheme="majorHAnsi" w:hAnsiTheme="majorHAnsi" w:cstheme="majorHAnsi"/>
                <w:b/>
                <w:color w:val="FFFFFF"/>
              </w:rPr>
            </w:pPr>
            <w:r w:rsidRPr="00AB59AB">
              <w:rPr>
                <w:rFonts w:asciiTheme="majorHAnsi" w:hAnsiTheme="majorHAnsi" w:cstheme="majorHAnsi"/>
                <w:b/>
                <w:color w:val="FFFFFF"/>
                <w:sz w:val="16"/>
              </w:rPr>
              <w:t>Firma</w:t>
            </w:r>
          </w:p>
        </w:tc>
      </w:tr>
      <w:tr w:rsidR="00242F0F" w:rsidRPr="00AB59AB" w14:paraId="55E83709" w14:textId="77777777">
        <w:tc>
          <w:tcPr>
            <w:tcW w:w="4111" w:type="dxa"/>
            <w:tcBorders>
              <w:top w:val="single" w:sz="4" w:space="0" w:color="666666"/>
              <w:left w:val="single" w:sz="4" w:space="0" w:color="666666"/>
              <w:bottom w:val="single" w:sz="4" w:space="0" w:color="666666"/>
              <w:right w:val="single" w:sz="4" w:space="0" w:color="666666"/>
            </w:tcBorders>
          </w:tcPr>
          <w:p w14:paraId="47194753"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Vicente Rivera</w:t>
            </w:r>
          </w:p>
        </w:tc>
        <w:tc>
          <w:tcPr>
            <w:tcW w:w="1766" w:type="dxa"/>
            <w:tcBorders>
              <w:top w:val="single" w:sz="4" w:space="0" w:color="666666"/>
              <w:left w:val="single" w:sz="4" w:space="0" w:color="666666"/>
              <w:bottom w:val="single" w:sz="4" w:space="0" w:color="666666"/>
              <w:right w:val="single" w:sz="4" w:space="0" w:color="666666"/>
            </w:tcBorders>
          </w:tcPr>
          <w:p w14:paraId="2FD2131F" w14:textId="1A1A71BD" w:rsidR="00242F0F" w:rsidRPr="00AB59AB" w:rsidRDefault="00CF621B">
            <w:pPr>
              <w:spacing w:after="0" w:line="240" w:lineRule="auto"/>
              <w:rPr>
                <w:rFonts w:asciiTheme="majorHAnsi" w:hAnsiTheme="majorHAnsi" w:cstheme="majorHAnsi"/>
              </w:rPr>
            </w:pPr>
            <w:r w:rsidRPr="00AB59AB">
              <w:rPr>
                <w:rFonts w:asciiTheme="majorHAnsi" w:hAnsiTheme="majorHAnsi" w:cstheme="majorHAnsi"/>
                <w:sz w:val="16"/>
              </w:rPr>
              <w:t>04/10/2026</w:t>
            </w:r>
          </w:p>
        </w:tc>
        <w:tc>
          <w:tcPr>
            <w:tcW w:w="2993" w:type="dxa"/>
            <w:tcBorders>
              <w:top w:val="single" w:sz="4" w:space="0" w:color="666666"/>
              <w:left w:val="single" w:sz="4" w:space="0" w:color="666666"/>
              <w:bottom w:val="single" w:sz="4" w:space="0" w:color="666666"/>
              <w:right w:val="single" w:sz="4" w:space="0" w:color="666666"/>
            </w:tcBorders>
          </w:tcPr>
          <w:p w14:paraId="2934492E" w14:textId="2FA81D47" w:rsidR="00242F0F" w:rsidRPr="00AB59AB" w:rsidRDefault="00CF621B">
            <w:pPr>
              <w:spacing w:after="0" w:line="240" w:lineRule="auto"/>
              <w:rPr>
                <w:rFonts w:asciiTheme="majorHAnsi" w:hAnsiTheme="majorHAnsi" w:cstheme="majorHAnsi"/>
              </w:rPr>
            </w:pPr>
            <w:r w:rsidRPr="00AB59AB">
              <w:rPr>
                <w:rFonts w:asciiTheme="majorHAnsi" w:hAnsiTheme="majorHAnsi" w:cstheme="majorHAnsi"/>
                <w:sz w:val="16"/>
              </w:rPr>
              <w:t>21.768.183-9</w:t>
            </w:r>
          </w:p>
        </w:tc>
      </w:tr>
      <w:tr w:rsidR="00242F0F" w:rsidRPr="00AB59AB" w14:paraId="5354B143" w14:textId="77777777">
        <w:tc>
          <w:tcPr>
            <w:tcW w:w="4111" w:type="dxa"/>
            <w:tcBorders>
              <w:top w:val="single" w:sz="4" w:space="0" w:color="666666"/>
              <w:left w:val="single" w:sz="4" w:space="0" w:color="666666"/>
              <w:bottom w:val="single" w:sz="4" w:space="0" w:color="666666"/>
              <w:right w:val="single" w:sz="4" w:space="0" w:color="666666"/>
            </w:tcBorders>
          </w:tcPr>
          <w:p w14:paraId="48943F7E" w14:textId="77777777" w:rsidR="00242F0F" w:rsidRPr="00AB59AB" w:rsidRDefault="00000000">
            <w:pPr>
              <w:spacing w:after="0" w:line="240" w:lineRule="auto"/>
              <w:rPr>
                <w:rFonts w:asciiTheme="majorHAnsi" w:hAnsiTheme="majorHAnsi" w:cstheme="majorHAnsi"/>
              </w:rPr>
            </w:pPr>
            <w:r w:rsidRPr="00AB59AB">
              <w:rPr>
                <w:rFonts w:asciiTheme="majorHAnsi" w:hAnsiTheme="majorHAnsi" w:cstheme="majorHAnsi"/>
                <w:sz w:val="16"/>
              </w:rPr>
              <w:t>Ignacio Fuenzalida</w:t>
            </w:r>
          </w:p>
        </w:tc>
        <w:tc>
          <w:tcPr>
            <w:tcW w:w="1766" w:type="dxa"/>
            <w:tcBorders>
              <w:top w:val="single" w:sz="4" w:space="0" w:color="666666"/>
              <w:left w:val="single" w:sz="4" w:space="0" w:color="666666"/>
              <w:bottom w:val="single" w:sz="4" w:space="0" w:color="666666"/>
              <w:right w:val="single" w:sz="4" w:space="0" w:color="666666"/>
            </w:tcBorders>
          </w:tcPr>
          <w:p w14:paraId="7A549BD6" w14:textId="581C749D" w:rsidR="00242F0F" w:rsidRPr="00AB59AB" w:rsidRDefault="00CF621B">
            <w:pPr>
              <w:spacing w:after="0" w:line="240" w:lineRule="auto"/>
              <w:rPr>
                <w:rFonts w:asciiTheme="majorHAnsi" w:hAnsiTheme="majorHAnsi" w:cstheme="majorHAnsi"/>
              </w:rPr>
            </w:pPr>
            <w:r w:rsidRPr="00AB59AB">
              <w:rPr>
                <w:rFonts w:asciiTheme="majorHAnsi" w:hAnsiTheme="majorHAnsi" w:cstheme="majorHAnsi"/>
                <w:sz w:val="16"/>
              </w:rPr>
              <w:t>04/10/2026</w:t>
            </w:r>
          </w:p>
        </w:tc>
        <w:tc>
          <w:tcPr>
            <w:tcW w:w="2993" w:type="dxa"/>
            <w:tcBorders>
              <w:top w:val="single" w:sz="4" w:space="0" w:color="666666"/>
              <w:left w:val="single" w:sz="4" w:space="0" w:color="666666"/>
              <w:bottom w:val="single" w:sz="4" w:space="0" w:color="666666"/>
              <w:right w:val="single" w:sz="4" w:space="0" w:color="666666"/>
            </w:tcBorders>
          </w:tcPr>
          <w:p w14:paraId="1AEB637F" w14:textId="6CC84897" w:rsidR="00242F0F" w:rsidRPr="00AB59AB" w:rsidRDefault="00CF621B">
            <w:pPr>
              <w:spacing w:after="0" w:line="240" w:lineRule="auto"/>
              <w:rPr>
                <w:rFonts w:asciiTheme="majorHAnsi" w:hAnsiTheme="majorHAnsi" w:cstheme="majorHAnsi"/>
              </w:rPr>
            </w:pPr>
            <w:r w:rsidRPr="00AB59AB">
              <w:rPr>
                <w:rFonts w:asciiTheme="majorHAnsi" w:hAnsiTheme="majorHAnsi" w:cstheme="majorHAnsi"/>
                <w:sz w:val="16"/>
              </w:rPr>
              <w:t>21.401.354-1</w:t>
            </w:r>
          </w:p>
        </w:tc>
      </w:tr>
    </w:tbl>
    <w:p w14:paraId="73214508" w14:textId="77777777" w:rsidR="00242F0F" w:rsidRPr="00AB59AB" w:rsidRDefault="00242F0F">
      <w:pPr>
        <w:pStyle w:val="Ttulo2"/>
        <w:spacing w:before="280" w:after="280"/>
        <w:ind w:hanging="2"/>
        <w:rPr>
          <w:rFonts w:asciiTheme="majorHAnsi" w:hAnsiTheme="majorHAnsi" w:cstheme="majorHAnsi"/>
          <w:b w:val="0"/>
        </w:rPr>
      </w:pPr>
    </w:p>
    <w:p w14:paraId="5E62411C" w14:textId="77777777" w:rsidR="00242F0F" w:rsidRPr="00AB59AB" w:rsidRDefault="00242F0F">
      <w:pPr>
        <w:pStyle w:val="Ttulo1"/>
        <w:spacing w:before="280"/>
        <w:ind w:left="1" w:hanging="3"/>
        <w:rPr>
          <w:rFonts w:asciiTheme="majorHAnsi" w:hAnsiTheme="majorHAnsi" w:cstheme="majorHAnsi"/>
        </w:rPr>
      </w:pPr>
    </w:p>
    <w:sectPr w:rsidR="00242F0F" w:rsidRPr="00AB59AB">
      <w:headerReference w:type="default" r:id="rId7"/>
      <w:footerReference w:type="default" r:id="rId8"/>
      <w:pgSz w:w="12240" w:h="15840"/>
      <w:pgMar w:top="1440"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56CFF" w14:textId="77777777" w:rsidR="003C64AA" w:rsidRDefault="003C64AA">
      <w:pPr>
        <w:spacing w:after="0" w:line="240" w:lineRule="auto"/>
      </w:pPr>
      <w:r>
        <w:separator/>
      </w:r>
    </w:p>
  </w:endnote>
  <w:endnote w:type="continuationSeparator" w:id="0">
    <w:p w14:paraId="166406CF" w14:textId="77777777" w:rsidR="003C64AA" w:rsidRDefault="003C6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F2CA" w14:textId="77777777" w:rsidR="00242F0F" w:rsidRDefault="00242F0F">
    <w:pPr>
      <w:pBdr>
        <w:top w:val="nil"/>
        <w:left w:val="nil"/>
        <w:bottom w:val="nil"/>
        <w:right w:val="nil"/>
        <w:between w:val="nil"/>
      </w:pBdr>
      <w:tabs>
        <w:tab w:val="center" w:pos="4419"/>
        <w:tab w:val="right" w:pos="8838"/>
      </w:tabs>
      <w:ind w:hanging="2"/>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9264F" w14:textId="77777777" w:rsidR="003C64AA" w:rsidRDefault="003C64AA">
      <w:pPr>
        <w:spacing w:after="0" w:line="240" w:lineRule="auto"/>
      </w:pPr>
      <w:r>
        <w:separator/>
      </w:r>
    </w:p>
  </w:footnote>
  <w:footnote w:type="continuationSeparator" w:id="0">
    <w:p w14:paraId="12655333" w14:textId="77777777" w:rsidR="003C64AA" w:rsidRDefault="003C64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4D89C" w14:textId="77777777" w:rsidR="00242F0F" w:rsidRDefault="00242F0F">
    <w:pPr>
      <w:pBdr>
        <w:top w:val="nil"/>
        <w:left w:val="nil"/>
        <w:bottom w:val="nil"/>
        <w:right w:val="nil"/>
        <w:between w:val="nil"/>
      </w:pBdr>
      <w:tabs>
        <w:tab w:val="center" w:pos="4419"/>
        <w:tab w:val="right" w:pos="8838"/>
      </w:tabs>
      <w:spacing w:after="0"/>
      <w:ind w:hanging="2"/>
      <w:jc w:val="right"/>
      <w:rPr>
        <w:color w:val="365F91"/>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F0F"/>
    <w:rsid w:val="001445D3"/>
    <w:rsid w:val="001E46DD"/>
    <w:rsid w:val="00242F0F"/>
    <w:rsid w:val="00274CB3"/>
    <w:rsid w:val="003C64AA"/>
    <w:rsid w:val="0040668F"/>
    <w:rsid w:val="004A35AE"/>
    <w:rsid w:val="00516483"/>
    <w:rsid w:val="005646C3"/>
    <w:rsid w:val="00AA7A06"/>
    <w:rsid w:val="00AB59AB"/>
    <w:rsid w:val="00BB55C8"/>
    <w:rsid w:val="00CA51BD"/>
    <w:rsid w:val="00CF621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8F5ED"/>
  <w15:docId w15:val="{E1A66F98-DB39-46B9-8C06-DF3C137B9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VE" w:eastAsia="es-CL" w:bidi="ar-SA"/>
      </w:rPr>
    </w:rPrDefault>
    <w:pPrDefault>
      <w:pPr>
        <w:spacing w:after="200" w:line="276" w:lineRule="auto"/>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line="240" w:lineRule="auto"/>
      <w:outlineLvl w:val="0"/>
    </w:pPr>
    <w:rPr>
      <w:b/>
      <w:color w:val="365F91"/>
      <w:sz w:val="32"/>
      <w:szCs w:val="32"/>
    </w:rPr>
  </w:style>
  <w:style w:type="paragraph" w:styleId="Ttulo2">
    <w:name w:val="heading 2"/>
    <w:basedOn w:val="Normal"/>
    <w:next w:val="Normal"/>
    <w:uiPriority w:val="9"/>
    <w:unhideWhenUsed/>
    <w:qFormat/>
    <w:pPr>
      <w:spacing w:line="240" w:lineRule="auto"/>
      <w:outlineLvl w:val="1"/>
    </w:pPr>
    <w:rPr>
      <w:b/>
      <w:color w:val="365F91"/>
    </w:rPr>
  </w:style>
  <w:style w:type="paragraph" w:styleId="Ttulo3">
    <w:name w:val="heading 3"/>
    <w:basedOn w:val="Normal"/>
    <w:next w:val="Normal"/>
    <w:uiPriority w:val="9"/>
    <w:semiHidden/>
    <w:unhideWhenUsed/>
    <w:qFormat/>
    <w:pPr>
      <w:keepNext/>
      <w:spacing w:before="240" w:after="60"/>
      <w:outlineLvl w:val="2"/>
    </w:pPr>
    <w:rPr>
      <w:rFonts w:ascii="Cambria" w:eastAsia="Cambria" w:hAnsi="Cambria" w:cs="Cambria"/>
      <w:b/>
      <w:sz w:val="26"/>
      <w:szCs w:val="26"/>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next w:val="TableNormal0"/>
    <w:qFormat/>
    <w:pPr>
      <w:suppressAutoHyphens/>
      <w:spacing w:line="1" w:lineRule="atLeast"/>
      <w:ind w:leftChars="-1" w:left="-1" w:hangingChars="1"/>
      <w:textDirection w:val="btLr"/>
      <w:textAlignment w:val="top"/>
      <w:outlineLvl w:val="0"/>
    </w:pPr>
    <w:rPr>
      <w:position w:val="-1"/>
    </w:rPr>
    <w:tblPr>
      <w:tblInd w:w="0" w:type="dxa"/>
      <w:tblCellMar>
        <w:top w:w="0" w:type="dxa"/>
        <w:left w:w="108" w:type="dxa"/>
        <w:bottom w:w="0" w:type="dxa"/>
        <w:right w:w="108" w:type="dxa"/>
      </w:tblCellMar>
    </w:tbl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cs="Times New Roman"/>
      <w:lang w:eastAsia="es-VE"/>
    </w:rPr>
  </w:style>
  <w:style w:type="character" w:customStyle="1" w:styleId="apple-converted-space">
    <w:name w:val="apple-converted-space"/>
    <w:basedOn w:val="Fuentedeprrafopredeter"/>
    <w:rPr>
      <w:w w:val="100"/>
      <w:position w:val="-1"/>
      <w:effect w:val="none"/>
      <w:vertAlign w:val="baseline"/>
      <w:cs w:val="0"/>
      <w:em w:val="none"/>
    </w:rPr>
  </w:style>
  <w:style w:type="character" w:styleId="Fuerte">
    <w:name w:val="Strong"/>
    <w:rPr>
      <w:b/>
      <w:bCs/>
      <w:w w:val="100"/>
      <w:position w:val="-1"/>
      <w:effect w:val="none"/>
      <w:vertAlign w:val="baseline"/>
      <w:cs w:val="0"/>
      <w:em w:val="none"/>
    </w:rPr>
  </w:style>
  <w:style w:type="paragraph" w:styleId="Prrafodelista">
    <w:name w:val="List Paragraph"/>
    <w:basedOn w:val="Normal"/>
    <w:pPr>
      <w:ind w:left="720"/>
      <w:contextualSpacing/>
    </w:pPr>
  </w:style>
  <w:style w:type="character" w:styleId="Hipervnculo">
    <w:name w:val="Hyperlink"/>
    <w:qFormat/>
    <w:rPr>
      <w:color w:val="0000FF"/>
      <w:w w:val="100"/>
      <w:position w:val="-1"/>
      <w:u w:val="single"/>
      <w:effect w:val="none"/>
      <w:vertAlign w:val="baseline"/>
      <w:cs w:val="0"/>
      <w:em w:val="none"/>
    </w:rPr>
  </w:style>
  <w:style w:type="table" w:styleId="Tablaconcuadrcula">
    <w:name w:val="Table Grid"/>
    <w:basedOn w:val="TableNormal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ommentText">
    <w:name w:val="Comment Text"/>
    <w:basedOn w:val="Normal"/>
    <w:pPr>
      <w:spacing w:after="0" w:line="240" w:lineRule="auto"/>
    </w:pPr>
    <w:rPr>
      <w:rFonts w:ascii="Times New Roman" w:eastAsia="Times New Roman" w:hAnsi="Times New Roman" w:cs="Times New Roman"/>
      <w:sz w:val="20"/>
      <w:szCs w:val="20"/>
      <w:lang w:val="en-US"/>
    </w:rPr>
  </w:style>
  <w:style w:type="character" w:customStyle="1" w:styleId="CommentTextChar">
    <w:name w:val="Comment Text Char"/>
    <w:rPr>
      <w:rFonts w:ascii="Times New Roman" w:eastAsia="Times New Roman" w:hAnsi="Times New Roman" w:cs="Times New Roman"/>
      <w:w w:val="100"/>
      <w:position w:val="-1"/>
      <w:sz w:val="20"/>
      <w:szCs w:val="20"/>
      <w:effect w:val="none"/>
      <w:vertAlign w:val="baseline"/>
      <w:cs w:val="0"/>
      <w:em w:val="none"/>
      <w:lang w:val="en-US"/>
    </w:rPr>
  </w:style>
  <w:style w:type="character" w:customStyle="1" w:styleId="Heading1Char">
    <w:name w:val="Heading 1 Char"/>
    <w:rPr>
      <w:rFonts w:ascii="Arial" w:eastAsia="Times New Roman" w:hAnsi="Arial"/>
      <w:b/>
      <w:bCs/>
      <w:color w:val="365F91"/>
      <w:w w:val="100"/>
      <w:kern w:val="36"/>
      <w:position w:val="-1"/>
      <w:sz w:val="32"/>
      <w:szCs w:val="48"/>
      <w:effect w:val="none"/>
      <w:vertAlign w:val="baseline"/>
      <w:cs w:val="0"/>
      <w:em w:val="none"/>
    </w:rPr>
  </w:style>
  <w:style w:type="character" w:customStyle="1" w:styleId="Heading2Char">
    <w:name w:val="Heading 2 Char"/>
    <w:rPr>
      <w:rFonts w:ascii="Arial" w:eastAsia="Times New Roman" w:hAnsi="Arial"/>
      <w:b/>
      <w:bCs/>
      <w:color w:val="365F91"/>
      <w:w w:val="100"/>
      <w:position w:val="-1"/>
      <w:sz w:val="24"/>
      <w:szCs w:val="36"/>
      <w:effect w:val="none"/>
      <w:vertAlign w:val="baseline"/>
      <w:cs w:val="0"/>
      <w:em w:val="none"/>
    </w:rPr>
  </w:style>
  <w:style w:type="character" w:customStyle="1" w:styleId="vote-count-post">
    <w:name w:val="vote-count-post"/>
    <w:basedOn w:val="Fuentedeprrafopredeter"/>
    <w:rPr>
      <w:w w:val="100"/>
      <w:position w:val="-1"/>
      <w:effect w:val="none"/>
      <w:vertAlign w:val="baseline"/>
      <w:cs w:val="0"/>
      <w:em w:val="none"/>
    </w:rPr>
  </w:style>
  <w:style w:type="character" w:customStyle="1" w:styleId="relativetime">
    <w:name w:val="relativetime"/>
    <w:basedOn w:val="Fuentedeprrafopredeter"/>
    <w:rPr>
      <w:w w:val="100"/>
      <w:position w:val="-1"/>
      <w:effect w:val="none"/>
      <w:vertAlign w:val="baseline"/>
      <w:cs w:val="0"/>
      <w:em w:val="none"/>
    </w:rPr>
  </w:style>
  <w:style w:type="character" w:customStyle="1" w:styleId="reputation-score">
    <w:name w:val="reputation-score"/>
    <w:basedOn w:val="Fuentedeprrafopredeter"/>
    <w:rPr>
      <w:w w:val="100"/>
      <w:position w:val="-1"/>
      <w:effect w:val="none"/>
      <w:vertAlign w:val="baseline"/>
      <w:cs w:val="0"/>
      <w:em w:val="none"/>
    </w:rPr>
  </w:style>
  <w:style w:type="character" w:customStyle="1" w:styleId="badgecount">
    <w:name w:val="badgecount"/>
    <w:basedOn w:val="Fuentedeprrafopredeter"/>
    <w:rPr>
      <w:w w:val="100"/>
      <w:position w:val="-1"/>
      <w:effect w:val="none"/>
      <w:vertAlign w:val="baseline"/>
      <w:cs w:val="0"/>
      <w:em w:val="none"/>
    </w:rPr>
  </w:style>
  <w:style w:type="character" w:customStyle="1" w:styleId="cool">
    <w:name w:val="cool"/>
    <w:basedOn w:val="Fuentedeprrafopredeter"/>
    <w:rPr>
      <w:w w:val="100"/>
      <w:position w:val="-1"/>
      <w:effect w:val="none"/>
      <w:vertAlign w:val="baseline"/>
      <w:cs w:val="0"/>
      <w:em w:val="none"/>
    </w:rPr>
  </w:style>
  <w:style w:type="character" w:customStyle="1" w:styleId="comment-copy">
    <w:name w:val="comment-copy"/>
    <w:basedOn w:val="Fuentedeprrafopredeter"/>
    <w:rPr>
      <w:w w:val="100"/>
      <w:position w:val="-1"/>
      <w:effect w:val="none"/>
      <w:vertAlign w:val="baseline"/>
      <w:cs w:val="0"/>
      <w:em w:val="none"/>
    </w:rPr>
  </w:style>
  <w:style w:type="character" w:customStyle="1" w:styleId="comment-date">
    <w:name w:val="comment-date"/>
    <w:basedOn w:val="Fuentedeprrafopredeter"/>
    <w:rPr>
      <w:w w:val="100"/>
      <w:position w:val="-1"/>
      <w:effect w:val="none"/>
      <w:vertAlign w:val="baseline"/>
      <w:cs w:val="0"/>
      <w:em w:val="none"/>
    </w:rPr>
  </w:style>
  <w:style w:type="character" w:styleId="nfasis">
    <w:name w:val="Emphasis"/>
    <w:rPr>
      <w:i/>
      <w:iCs/>
      <w:w w:val="100"/>
      <w:position w:val="-1"/>
      <w:effect w:val="none"/>
      <w:vertAlign w:val="baseline"/>
      <w:cs w:val="0"/>
      <w:em w:val="none"/>
    </w:rPr>
  </w:style>
  <w:style w:type="paragraph" w:styleId="Textodeglobo">
    <w:name w:val="Balloon Text"/>
    <w:basedOn w:val="Normal"/>
    <w:qFormat/>
    <w:pPr>
      <w:spacing w:after="0"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rPr>
  </w:style>
  <w:style w:type="character" w:customStyle="1" w:styleId="Heading3Char">
    <w:name w:val="Heading 3 Char"/>
    <w:rPr>
      <w:rFonts w:ascii="Cambria" w:eastAsia="Times New Roman" w:hAnsi="Cambria" w:cs="Times New Roman"/>
      <w:b/>
      <w:bCs/>
      <w:w w:val="100"/>
      <w:position w:val="-1"/>
      <w:sz w:val="26"/>
      <w:szCs w:val="26"/>
      <w:effect w:val="none"/>
      <w:vertAlign w:val="baseline"/>
      <w:cs w:val="0"/>
      <w:em w:val="none"/>
      <w:lang w:eastAsia="en-US"/>
    </w:rPr>
  </w:style>
  <w:style w:type="character" w:customStyle="1" w:styleId="ilad">
    <w:name w:val="il_ad"/>
    <w:basedOn w:val="Fuentedeprrafopredeter"/>
    <w:rPr>
      <w:w w:val="100"/>
      <w:position w:val="-1"/>
      <w:effect w:val="none"/>
      <w:vertAlign w:val="baseline"/>
      <w:cs w:val="0"/>
      <w:em w:val="none"/>
    </w:rPr>
  </w:style>
  <w:style w:type="paragraph" w:styleId="Encabezado">
    <w:name w:val="header"/>
    <w:basedOn w:val="Normal"/>
    <w:qFormat/>
    <w:pPr>
      <w:tabs>
        <w:tab w:val="center" w:pos="4419"/>
        <w:tab w:val="right" w:pos="8838"/>
      </w:tabs>
    </w:pPr>
  </w:style>
  <w:style w:type="character" w:customStyle="1" w:styleId="HeaderChar">
    <w:name w:val="Header Char"/>
    <w:rPr>
      <w:w w:val="100"/>
      <w:position w:val="-1"/>
      <w:sz w:val="22"/>
      <w:szCs w:val="22"/>
      <w:effect w:val="none"/>
      <w:vertAlign w:val="baseline"/>
      <w:cs w:val="0"/>
      <w:em w:val="none"/>
      <w:lang w:eastAsia="en-US"/>
    </w:rPr>
  </w:style>
  <w:style w:type="paragraph" w:styleId="Piedepgina">
    <w:name w:val="footer"/>
    <w:basedOn w:val="Normal"/>
    <w:qFormat/>
    <w:pPr>
      <w:tabs>
        <w:tab w:val="center" w:pos="4419"/>
        <w:tab w:val="right" w:pos="8838"/>
      </w:tabs>
    </w:pPr>
  </w:style>
  <w:style w:type="character" w:customStyle="1" w:styleId="FooterChar">
    <w:name w:val="Footer Char"/>
    <w:rPr>
      <w:w w:val="100"/>
      <w:position w:val="-1"/>
      <w:sz w:val="22"/>
      <w:szCs w:val="22"/>
      <w:effect w:val="none"/>
      <w:vertAlign w:val="baseline"/>
      <w:cs w:val="0"/>
      <w:em w:val="none"/>
      <w:lang w:eastAsia="en-US"/>
    </w:rPr>
  </w:style>
  <w:style w:type="paragraph" w:styleId="TtuloTDC">
    <w:name w:val="TOC Heading"/>
    <w:next w:val="Normal"/>
    <w:qFormat/>
    <w:pPr>
      <w:keepNext/>
      <w:keepLines/>
      <w:spacing w:before="480" w:after="0"/>
    </w:pPr>
    <w:rPr>
      <w:rFonts w:ascii="Cambria" w:hAnsi="Cambria" w:cs="Times New Roman"/>
      <w:sz w:val="28"/>
      <w:szCs w:val="28"/>
    </w:rPr>
  </w:style>
  <w:style w:type="paragraph" w:styleId="TDC1">
    <w:name w:val="toc 1"/>
    <w:basedOn w:val="Normal"/>
    <w:next w:val="Normal"/>
    <w:qFormat/>
  </w:style>
  <w:style w:type="paragraph" w:styleId="TDC2">
    <w:name w:val="toc 2"/>
    <w:basedOn w:val="Normal"/>
    <w:next w:val="Normal"/>
    <w:qFormat/>
    <w:pPr>
      <w:ind w:left="220"/>
    </w:pPr>
  </w:style>
  <w:style w:type="paragraph" w:styleId="TDC3">
    <w:name w:val="toc 3"/>
    <w:basedOn w:val="Normal"/>
    <w:next w:val="Normal"/>
    <w:qFormat/>
    <w:pPr>
      <w:spacing w:after="100"/>
      <w:ind w:left="440"/>
    </w:pPr>
    <w:rPr>
      <w:rFonts w:ascii="Calibri" w:eastAsia="Times New Roman" w:hAnsi="Calibri" w:cs="Times New Roman"/>
      <w:lang w:eastAsia="es-VE"/>
    </w:rPr>
  </w:style>
  <w:style w:type="paragraph" w:styleId="Sinespaciado">
    <w:name w:val="No Spacing"/>
    <w:pPr>
      <w:suppressAutoHyphens/>
      <w:spacing w:line="1" w:lineRule="atLeast"/>
      <w:ind w:leftChars="-1" w:left="-1" w:hangingChars="1"/>
      <w:textDirection w:val="btLr"/>
      <w:textAlignment w:val="top"/>
      <w:outlineLvl w:val="0"/>
    </w:pPr>
    <w:rPr>
      <w:position w:val="-1"/>
      <w:szCs w:val="22"/>
      <w:lang w:eastAsia="en-US"/>
    </w:r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b">
    <w:basedOn w:val="TableNormal0"/>
    <w:tblPr>
      <w:tblStyleRowBandSize w:val="1"/>
      <w:tblStyleColBandSize w:val="1"/>
      <w:tblCellMar>
        <w:left w:w="108" w:type="dxa"/>
        <w:right w:w="108" w:type="dxa"/>
      </w:tblCellMar>
    </w:tblPr>
  </w:style>
  <w:style w:type="table" w:customStyle="1" w:styleId="ac">
    <w:basedOn w:val="TableNormal0"/>
    <w:tblPr>
      <w:tblStyleRowBandSize w:val="1"/>
      <w:tblStyleColBandSize w:val="1"/>
      <w:tblCellMar>
        <w:left w:w="108" w:type="dxa"/>
        <w:right w:w="108" w:type="dxa"/>
      </w:tblCellMar>
    </w:tblPr>
  </w:style>
  <w:style w:type="table" w:customStyle="1" w:styleId="ad">
    <w:basedOn w:val="TableNormal0"/>
    <w:tblPr>
      <w:tblStyleRowBandSize w:val="1"/>
      <w:tblStyleColBandSize w:val="1"/>
      <w:tblCellMar>
        <w:left w:w="108" w:type="dxa"/>
        <w:right w:w="108" w:type="dxa"/>
      </w:tblCellMar>
    </w:tblPr>
  </w:style>
  <w:style w:type="table" w:customStyle="1" w:styleId="ae">
    <w:basedOn w:val="TableNormal0"/>
    <w:tblPr>
      <w:tblStyleRowBandSize w:val="1"/>
      <w:tblStyleColBandSize w:val="1"/>
      <w:tblCellMar>
        <w:left w:w="108" w:type="dxa"/>
        <w:right w:w="108" w:type="dxa"/>
      </w:tblCellMar>
    </w:tblPr>
  </w:style>
  <w:style w:type="table" w:customStyle="1" w:styleId="af">
    <w:basedOn w:val="TableNormal0"/>
    <w:tblPr>
      <w:tblStyleRowBandSize w:val="1"/>
      <w:tblStyleColBandSize w:val="1"/>
      <w:tblCellMar>
        <w:left w:w="108" w:type="dxa"/>
        <w:right w:w="108" w:type="dxa"/>
      </w:tblCellMar>
    </w:tblPr>
  </w:style>
  <w:style w:type="table" w:customStyle="1" w:styleId="af0">
    <w:basedOn w:val="TableNormal0"/>
    <w:tblPr>
      <w:tblStyleRowBandSize w:val="1"/>
      <w:tblStyleColBandSize w:val="1"/>
      <w:tblCellMar>
        <w:left w:w="108" w:type="dxa"/>
        <w:right w:w="108" w:type="dxa"/>
      </w:tblCellMar>
    </w:tblPr>
  </w:style>
  <w:style w:type="table" w:customStyle="1" w:styleId="af1">
    <w:basedOn w:val="TableNormal0"/>
    <w:tblPr>
      <w:tblStyleRowBandSize w:val="1"/>
      <w:tblStyleColBandSize w:val="1"/>
      <w:tblCellMar>
        <w:left w:w="108" w:type="dxa"/>
        <w:right w:w="108" w:type="dxa"/>
      </w:tblCellMar>
    </w:tblPr>
  </w:style>
  <w:style w:type="table" w:customStyle="1" w:styleId="af2">
    <w:basedOn w:val="TableNormal0"/>
    <w:tblPr>
      <w:tblStyleRowBandSize w:val="1"/>
      <w:tblStyleColBandSize w:val="1"/>
      <w:tblCellMar>
        <w:left w:w="108" w:type="dxa"/>
        <w:right w:w="108" w:type="dxa"/>
      </w:tblCellMar>
    </w:tblPr>
  </w:style>
  <w:style w:type="table" w:customStyle="1" w:styleId="af3">
    <w:basedOn w:val="TableNormal0"/>
    <w:tblPr>
      <w:tblStyleRowBandSize w:val="1"/>
      <w:tblStyleColBandSize w:val="1"/>
      <w:tblCellMar>
        <w:left w:w="108" w:type="dxa"/>
        <w:right w:w="108" w:type="dxa"/>
      </w:tblCellMar>
    </w:tblPr>
  </w:style>
  <w:style w:type="table" w:customStyle="1" w:styleId="af4">
    <w:basedOn w:val="TableNormal0"/>
    <w:tblPr>
      <w:tblStyleRowBandSize w:val="1"/>
      <w:tblStyleColBandSize w:val="1"/>
      <w:tblCellMar>
        <w:left w:w="108" w:type="dxa"/>
        <w:right w:w="108" w:type="dxa"/>
      </w:tblCellMar>
    </w:tblPr>
  </w:style>
  <w:style w:type="table" w:customStyle="1" w:styleId="af5">
    <w:basedOn w:val="TableNormal0"/>
    <w:tblPr>
      <w:tblStyleRowBandSize w:val="1"/>
      <w:tblStyleColBandSize w:val="1"/>
      <w:tblCellMar>
        <w:left w:w="108" w:type="dxa"/>
        <w:right w:w="108" w:type="dxa"/>
      </w:tblCellMar>
    </w:tblPr>
  </w:style>
  <w:style w:type="table" w:customStyle="1" w:styleId="af6">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cD3MZZXK+EAXuvO+O4RCicKoQw==">CgMxLjAyCGguZ2pkZ3hzMgloLjMwajB6bGwyCWguMWZvYjl0ZTIJaC4zem55c2g3MgloLjJldDkycDAyDmguZ3hwb21ydjdkdmsyMg5oLnhqNW5kYm03OWJhejIOaC5vd3pzcWtsNGhmMnQyDmguaXI2b210MTgzaTJqMg5oLnUyeG53aXIzb3R0ejIOaC54bDJia3l5aWw5MjgyCWguM2R5NnZrbTIJaC4xdDNoNXNmMgloLjJzOGV5bzEyCWguMTdkcDh2dTIOaC4xczhoZXlrMnBvZTEyCWguMjZpbjFyZzgAciExUmtmajhoTDd1MWpaLU1jRVhvc3NoR21EeUI4eFV0ak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6</Pages>
  <Words>2995</Words>
  <Characters>16474</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Acta de Constitución del Proyecto – CuTuCo</vt:lpstr>
    </vt:vector>
  </TitlesOfParts>
  <Company/>
  <LinksUpToDate>false</LinksUpToDate>
  <CharactersWithSpaces>19431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de Constitución del Proyecto – CuTuCo</dc:title>
  <dc:subject>Proyecto CuTuCo / Capstone Duoc UC</dc:subject>
  <dc:creator>Vicente Rivera; Ignacio Fuenzalida</dc:creator>
  <dc:description>Documento completado a partir de la plantilla 1.2.1 y del informe CuTuCo.</dc:description>
  <cp:lastModifiedBy>IGNACIO JAVIER FUENZALIDA CHANDIA</cp:lastModifiedBy>
  <cp:revision>5</cp:revision>
  <dcterms:created xsi:type="dcterms:W3CDTF">2022-05-15T01:17:00Z</dcterms:created>
  <dcterms:modified xsi:type="dcterms:W3CDTF">2026-10-16T02:13:00Z</dcterms:modified>
</cp:coreProperties>
</file>