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20600" w14:textId="77777777" w:rsidR="006B11F1" w:rsidRPr="009C7BEF" w:rsidRDefault="00000000">
      <w:pPr>
        <w:spacing w:before="1400" w:after="120"/>
        <w:jc w:val="center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  <w:color w:val="1F3864"/>
          <w:sz w:val="28"/>
          <w:szCs w:val="28"/>
        </w:rPr>
        <w:t>Duoc UC Plaza Norte</w:t>
      </w:r>
    </w:p>
    <w:p w14:paraId="3A1CE24D" w14:textId="77777777" w:rsidR="006B11F1" w:rsidRPr="009C7BEF" w:rsidRDefault="00000000">
      <w:pPr>
        <w:spacing w:after="900"/>
        <w:jc w:val="center"/>
        <w:rPr>
          <w:rFonts w:ascii="Calibri" w:hAnsi="Calibri" w:cs="Calibri"/>
        </w:rPr>
      </w:pPr>
      <w:r w:rsidRPr="009C7BEF">
        <w:rPr>
          <w:rFonts w:ascii="Calibri" w:hAnsi="Calibri" w:cs="Calibri"/>
          <w:color w:val="595959"/>
          <w:sz w:val="24"/>
          <w:szCs w:val="24"/>
        </w:rPr>
        <w:t>Ingeniería en Informática</w:t>
      </w:r>
    </w:p>
    <w:p w14:paraId="01227593" w14:textId="77777777" w:rsidR="006B11F1" w:rsidRPr="009C7BEF" w:rsidRDefault="00000000">
      <w:pPr>
        <w:spacing w:after="160"/>
        <w:jc w:val="center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  <w:color w:val="1F3864"/>
          <w:sz w:val="44"/>
          <w:szCs w:val="44"/>
        </w:rPr>
        <w:t>PLAN DE CALIDAD Y DE COSTOS</w:t>
      </w:r>
    </w:p>
    <w:p w14:paraId="22053476" w14:textId="77777777" w:rsidR="006B11F1" w:rsidRPr="009C7BEF" w:rsidRDefault="006B11F1">
      <w:pPr>
        <w:pBdr>
          <w:bottom w:val="single" w:sz="12" w:space="6" w:color="F2B705"/>
        </w:pBdr>
        <w:spacing w:after="160"/>
        <w:jc w:val="center"/>
        <w:rPr>
          <w:rFonts w:ascii="Calibri" w:hAnsi="Calibri" w:cs="Calibri"/>
        </w:rPr>
      </w:pPr>
    </w:p>
    <w:p w14:paraId="3CBA6537" w14:textId="77777777" w:rsidR="006B11F1" w:rsidRPr="009C7BEF" w:rsidRDefault="00000000">
      <w:pPr>
        <w:spacing w:before="160" w:after="120"/>
        <w:jc w:val="center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  <w:sz w:val="30"/>
          <w:szCs w:val="30"/>
        </w:rPr>
        <w:t>Proyecto CuTuCo (Cultiva Tu Compra)</w:t>
      </w:r>
    </w:p>
    <w:p w14:paraId="55C9C5DC" w14:textId="77777777" w:rsidR="006B11F1" w:rsidRPr="009C7BEF" w:rsidRDefault="00000000">
      <w:pPr>
        <w:spacing w:after="700"/>
        <w:jc w:val="center"/>
        <w:rPr>
          <w:rFonts w:ascii="Calibri" w:hAnsi="Calibri" w:cs="Calibri"/>
        </w:rPr>
      </w:pPr>
      <w:r w:rsidRPr="009C7BEF">
        <w:rPr>
          <w:rFonts w:ascii="Calibri" w:hAnsi="Calibri" w:cs="Calibri"/>
          <w:color w:val="595959"/>
          <w:sz w:val="24"/>
          <w:szCs w:val="24"/>
        </w:rPr>
        <w:t>Marketplace SaaS B2B2C de comercio de proximidad</w:t>
      </w:r>
    </w:p>
    <w:tbl>
      <w:tblPr>
        <w:tblW w:w="8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4400"/>
      </w:tblGrid>
      <w:tr w:rsidR="006B11F1" w:rsidRPr="009C7BEF" w14:paraId="0BAEA2C0" w14:textId="77777777">
        <w:trPr>
          <w:cantSplit/>
          <w:tblHeader/>
          <w:jc w:val="center"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B8670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557D25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6B11F1" w:rsidRPr="009C7BEF" w14:paraId="0AE57D34" w14:textId="77777777">
        <w:trPr>
          <w:cantSplit/>
          <w:jc w:val="center"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A65CF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Vicente Rivera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4958E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Líder backend / Jefe de Proyecto</w:t>
            </w:r>
          </w:p>
        </w:tc>
      </w:tr>
      <w:tr w:rsidR="006B11F1" w:rsidRPr="009C7BEF" w14:paraId="0CCF938A" w14:textId="77777777">
        <w:trPr>
          <w:cantSplit/>
          <w:jc w:val="center"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00E618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Ignacio Fuenzalida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87F505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IT frontend</w:t>
            </w:r>
          </w:p>
        </w:tc>
      </w:tr>
    </w:tbl>
    <w:p w14:paraId="125BDCFE" w14:textId="77777777" w:rsidR="006B11F1" w:rsidRPr="009C7BEF" w:rsidRDefault="00000000">
      <w:pPr>
        <w:spacing w:before="500" w:after="120"/>
        <w:jc w:val="center"/>
        <w:rPr>
          <w:rFonts w:ascii="Calibri" w:hAnsi="Calibri" w:cs="Calibri"/>
        </w:rPr>
      </w:pPr>
      <w:r w:rsidRPr="009C7BEF">
        <w:rPr>
          <w:rFonts w:ascii="Calibri" w:hAnsi="Calibri" w:cs="Calibri"/>
          <w:color w:val="595959"/>
          <w:sz w:val="20"/>
          <w:szCs w:val="20"/>
        </w:rPr>
        <w:t>Fase 2 – Análisis y Diseño | Paquete EDT 2.5 | Hito H02</w:t>
      </w:r>
    </w:p>
    <w:p w14:paraId="6939B72A" w14:textId="77777777" w:rsidR="006B11F1" w:rsidRPr="009C7BEF" w:rsidRDefault="00000000">
      <w:pPr>
        <w:spacing w:after="120"/>
        <w:jc w:val="center"/>
        <w:rPr>
          <w:rFonts w:ascii="Calibri" w:hAnsi="Calibri" w:cs="Calibri"/>
        </w:rPr>
      </w:pPr>
      <w:r w:rsidRPr="009C7BEF">
        <w:rPr>
          <w:rFonts w:ascii="Calibri" w:hAnsi="Calibri" w:cs="Calibri"/>
          <w:color w:val="595959"/>
          <w:sz w:val="20"/>
          <w:szCs w:val="20"/>
        </w:rPr>
        <w:t>Santiago, Chile – 5 de octubre de 2026</w:t>
      </w:r>
    </w:p>
    <w:p w14:paraId="6634BD9E" w14:textId="77777777" w:rsidR="006B11F1" w:rsidRPr="009C7BEF" w:rsidRDefault="00000000">
      <w:pPr>
        <w:rPr>
          <w:rFonts w:ascii="Calibri" w:hAnsi="Calibri" w:cs="Calibri"/>
        </w:rPr>
      </w:pPr>
      <w:r w:rsidRPr="009C7BEF">
        <w:rPr>
          <w:rFonts w:ascii="Calibri" w:hAnsi="Calibri" w:cs="Calibri"/>
        </w:rPr>
        <w:br w:type="page"/>
      </w:r>
    </w:p>
    <w:p w14:paraId="105B3DCD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lastRenderedPageBreak/>
        <w:t>1. Información general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060"/>
      </w:tblGrid>
      <w:tr w:rsidR="006B11F1" w:rsidRPr="009C7BEF" w14:paraId="58E0897E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5EAE6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5653F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6B11F1" w:rsidRPr="009C7BEF" w14:paraId="0D492A2A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07814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F7B78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CuTuCo (Cultiva Tu Compra) – Marketplace SaaS B2B2C de comercio de proximidad</w:t>
            </w:r>
          </w:p>
        </w:tc>
      </w:tr>
      <w:tr w:rsidR="006B11F1" w:rsidRPr="009C7BEF" w14:paraId="5B9C804A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E338A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Documento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00CBF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Plan de Calidad y de Costos (EDT 2.5)</w:t>
            </w:r>
          </w:p>
        </w:tc>
      </w:tr>
      <w:tr w:rsidR="006B11F1" w:rsidRPr="009C7BEF" w14:paraId="45ECB928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F2896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Institución / carrera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8CF05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Duoc UC Plaza Norte – Ingeniería en Informática (proyecto Capstone)</w:t>
            </w:r>
          </w:p>
        </w:tc>
      </w:tr>
      <w:tr w:rsidR="006B11F1" w:rsidRPr="009C7BEF" w14:paraId="204CFC47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880A1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Equipo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F74CD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Vicente Rivera (backend / Jefe de Proyecto) e Ignacio Fuenzalida (frontend)</w:t>
            </w:r>
          </w:p>
        </w:tc>
      </w:tr>
      <w:tr w:rsidR="006B11F1" w:rsidRPr="009C7BEF" w14:paraId="386703F6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76ED9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Período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864DE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13 semanas: inicio 11/09/2026, desarrollo hasta la Semana 11 (26/11/2026) y entrega final el 10/12/2026</w:t>
            </w:r>
          </w:p>
        </w:tc>
      </w:tr>
      <w:tr w:rsidR="006B11F1" w:rsidRPr="009C7BEF" w14:paraId="135918FA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0FCFE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Arquitectura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A8B5F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Vue.js + Vite en Vercel; PostgreSQL, Auth (GoTrue), PostgREST y Storage en Supabase como persistencia y autenticación, y FastAPI + Docker en Cloud Run solo para la lógica de la integración con Webpay Mall; Resend para correos; Webpay Mall (Split Payment) de Transbank para pagos</w:t>
            </w:r>
          </w:p>
        </w:tc>
      </w:tr>
      <w:tr w:rsidR="006B11F1" w:rsidRPr="009C7BEF" w14:paraId="4CA2CAEB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1FDF4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Presupuesto base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C6547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Escenario Bajo (Opción A, MVP académico): total estimado $5.626.158, con desembolso real de $338.870; los conceptos sin cotización se registran en $0 y quedan marcados como pendientes (sección 9.9)</w:t>
            </w:r>
          </w:p>
        </w:tc>
      </w:tr>
      <w:tr w:rsidR="006B11F1" w:rsidRPr="009C7BEF" w14:paraId="5CBDD11B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4F7EF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Documentos relacionados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C6FBF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Acta de Constitución, EDT y Diccionario, ERS, Plan de Pruebas Inicial y planilla «Presupuesto Estimado(Flujo de Caja) CuTuCo.xlsx»</w:t>
            </w:r>
          </w:p>
        </w:tc>
      </w:tr>
      <w:tr w:rsidR="006B11F1" w:rsidRPr="009C7BEF" w14:paraId="56F04E4F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0BDB7C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Versión / estado</w:t>
            </w:r>
          </w:p>
        </w:tc>
        <w:tc>
          <w:tcPr>
            <w:tcW w:w="7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CB7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1.0 – Para revisión del equipo docente</w:t>
            </w:r>
          </w:p>
        </w:tc>
      </w:tr>
    </w:tbl>
    <w:p w14:paraId="5BF900C4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t>2. Propósito y alcance</w:t>
      </w:r>
    </w:p>
    <w:p w14:paraId="7A9F57C2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 xml:space="preserve">Elaboramos este plan para definir </w:t>
      </w:r>
      <w:r w:rsidRPr="009C7BEF">
        <w:rPr>
          <w:rFonts w:ascii="Calibri" w:hAnsi="Calibri" w:cs="Calibri"/>
          <w:b/>
          <w:bCs/>
        </w:rPr>
        <w:t>qué nivel de calidad debe tener CuTuCo, cómo lo vamos a medir y cuánto costará lograrlo</w:t>
      </w:r>
      <w:r w:rsidRPr="009C7BEF">
        <w:rPr>
          <w:rFonts w:ascii="Calibri" w:hAnsi="Calibri" w:cs="Calibri"/>
        </w:rPr>
        <w:t>. Es un documento corto y práctico: lo usaremos cada semana para decidir si un entregable está listo y si el gasto sigue dentro de lo presupuestado.</w:t>
      </w:r>
    </w:p>
    <w:p w14:paraId="4DF6B7A5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Incluye:</w:t>
      </w:r>
      <w:r w:rsidRPr="009C7BEF">
        <w:rPr>
          <w:rFonts w:ascii="Calibri" w:hAnsi="Calibri" w:cs="Calibri"/>
        </w:rPr>
        <w:t xml:space="preserve"> los 22 requerimientos vigentes del ERS (RF-001 a RF-027, sin RF-008, RF-013, RF-015 y RF-016, eliminados, y con RF-010 registrado como descartado) y los requerimientos no funcionales RNF01 (seguridad e integridad) y RNF02 (rendimiento), los entregables de las cuatro fases y el presupuesto del proyecto.</w:t>
      </w:r>
    </w:p>
    <w:p w14:paraId="0CF00CB0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No incluye:</w:t>
      </w:r>
      <w:r w:rsidRPr="009C7BEF">
        <w:rPr>
          <w:rFonts w:ascii="Calibri" w:hAnsi="Calibri" w:cs="Calibri"/>
        </w:rPr>
        <w:t xml:space="preserve"> las funciones descartadas (historial de precios, avisos de stock bajo, evidencia fotográfica obligatoria, geolocalización, múltiples administradores y rate limiting propio). Tampoco compromete infraestructura productiva fuera del presupuesto.</w:t>
      </w:r>
    </w:p>
    <w:p w14:paraId="702363F2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lastRenderedPageBreak/>
        <w:t>3. Objetivos de calidad</w:t>
      </w:r>
    </w:p>
    <w:p w14:paraId="18BE3AF8" w14:textId="77777777" w:rsidR="006B11F1" w:rsidRPr="009C7BEF" w:rsidRDefault="00000000">
      <w:pPr>
        <w:keepNext/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Cada objetivo tiene un indicador y una meta que podemos comprobar con evidencia guardada en el repositorio.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000"/>
        <w:gridCol w:w="2800"/>
        <w:gridCol w:w="1260"/>
        <w:gridCol w:w="2500"/>
      </w:tblGrid>
      <w:tr w:rsidR="006B11F1" w:rsidRPr="009C7BEF" w14:paraId="1747B084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E8FFE7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AE298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Objetivo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7B9CA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3645A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1B097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Medición</w:t>
            </w:r>
          </w:p>
        </w:tc>
      </w:tr>
      <w:tr w:rsidR="006B11F1" w:rsidRPr="009C7BEF" w14:paraId="6A454276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4B82F5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OC-1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EBC40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Cumplir el alcance acordado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CBFDE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Requerimientos verificados contra su criterio de aceptación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D8A46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22 de 22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286F5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Verificación de alcance (H05)</w:t>
            </w:r>
          </w:p>
        </w:tc>
      </w:tr>
      <w:tr w:rsidR="006B11F1" w:rsidRPr="009C7BEF" w14:paraId="657C8DC7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13967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OC-2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810948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Probar los flujos críticos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4E014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Casos de prueba críticos aprobados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93A669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100%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63C4A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Semanal desde la Semana 6</w:t>
            </w:r>
          </w:p>
        </w:tc>
      </w:tr>
      <w:tr w:rsidR="006B11F1" w:rsidRPr="009C7BEF" w14:paraId="2AEEB1AE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57EF8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OC-3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8DA90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Código confiable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9B0D7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Cobertura de pruebas unitarias del backend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5FB15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≥ 80%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2267A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Pytest con cobertura en cada pull request</w:t>
            </w:r>
          </w:p>
        </w:tc>
      </w:tr>
      <w:tr w:rsidR="006B11F1" w:rsidRPr="009C7BEF" w14:paraId="0FAC1658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23356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OC-4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C49E6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Entregar sin fallas graves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FE14D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Defectos críticos y altos abiertos al cierre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731949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9DC57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Registro de defectos, cada semana</w:t>
            </w:r>
          </w:p>
        </w:tc>
      </w:tr>
      <w:tr w:rsidR="006B11F1" w:rsidRPr="009C7BEF" w14:paraId="70EC3C50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E1F61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OC-5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AA907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Proteger los datos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74AE3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Accesos fuera de rol a los datos bancarios y a los documentos de postulación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4C92C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A6CBF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CP-16, NF-01, NF-04 y OWASP ZAP (S9–S11)</w:t>
            </w:r>
          </w:p>
        </w:tc>
      </w:tr>
      <w:tr w:rsidR="006B11F1" w:rsidRPr="009C7BEF" w14:paraId="44879E32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D2CAF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OC-6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C2248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Buen desempeño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010A7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Tiempos de respuesta dentro de lo definido en el ERS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C528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100% de las mediciones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F6B4E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Caso NF-05 (S10)</w:t>
            </w:r>
          </w:p>
        </w:tc>
      </w:tr>
      <w:tr w:rsidR="006B11F1" w:rsidRPr="009C7BEF" w14:paraId="56ADEF02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CCC38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OC-7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76B47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Documentos completos y a tiempo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6149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Entregables con revisión cruzada antes de su hito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7FE8A1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100%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0C15D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Minuta de cada hito</w:t>
            </w:r>
          </w:p>
        </w:tc>
      </w:tr>
      <w:tr w:rsidR="006B11F1" w:rsidRPr="009C7BEF" w14:paraId="230A4DFA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B6F1C5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OC-8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660ECD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Controlar el costo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28818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Desviación del gasto real frente al planificado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3BCE59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≤ 10%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67E6B3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Revisión semanal (sección 10)</w:t>
            </w:r>
          </w:p>
        </w:tc>
      </w:tr>
    </w:tbl>
    <w:p w14:paraId="5D5E32E1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lastRenderedPageBreak/>
        <w:t>4. Estándares de calidad del producto</w:t>
      </w:r>
    </w:p>
    <w:p w14:paraId="01D2D163" w14:textId="77777777" w:rsidR="006B11F1" w:rsidRPr="009C7BEF" w:rsidRDefault="00000000">
      <w:pPr>
        <w:keepNext/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Organizamos los estándares según las características de calidad del modelo ISO/IEC 25010, solo con las que importan para CuTuCo.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0"/>
        <w:gridCol w:w="3400"/>
        <w:gridCol w:w="2250"/>
        <w:gridCol w:w="2060"/>
      </w:tblGrid>
      <w:tr w:rsidR="006B11F1" w:rsidRPr="009C7BEF" w14:paraId="6C7B573A" w14:textId="77777777">
        <w:trPr>
          <w:cantSplit/>
          <w:tblHeader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B768C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Característica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3C764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Estándar que debe cumplir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91C78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Meta medible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9F473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Verificación</w:t>
            </w:r>
          </w:p>
        </w:tc>
      </w:tr>
      <w:tr w:rsidR="006B11F1" w:rsidRPr="009C7BEF" w14:paraId="667692EC" w14:textId="77777777"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CE34E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Funcionalidad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D0138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Cada flujo (registro, catálogo, compra, pago con Webpay Mall, delivery con código, calificación, sanciones y gestión de reclamos) funciona según el ERS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89EFD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22 de 22 requerimientos aprobados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C2139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Matriz de trazabilidad y casos CP-01 a CP-17</w:t>
            </w:r>
          </w:p>
        </w:tc>
      </w:tr>
      <w:tr w:rsidR="006B11F1" w:rsidRPr="009C7BEF" w14:paraId="6CADA81B" w14:textId="77777777"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EF465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Seguridad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6B6DC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Acceso solo según el rol mediante Supabase Auth (GoTrue), RLS, policies y grants, más los permisos de almacenamiento de los documentos de postulación; el límite nativo de GoTrue responde 429 ante intentos repetidos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60097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0 accesos fuera de rol; 0 datos bancarios o documentos de postulación accesibles sin política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57283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CP-16, NF-01, NF-04, OWASP ZAP</w:t>
            </w:r>
          </w:p>
        </w:tc>
      </w:tr>
      <w:tr w:rsidR="006B11F1" w:rsidRPr="009C7BEF" w14:paraId="328419BA" w14:textId="77777777"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16F88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Integridad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48983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No existen pagos duplicados gracias a buy_order y token_ws únicos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04AC5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0 duplicados por reintentos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54FD3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NF-02, CP-09</w:t>
            </w:r>
          </w:p>
        </w:tc>
      </w:tr>
      <w:tr w:rsidR="006B11F1" w:rsidRPr="009C7BEF" w14:paraId="778BBFA9" w14:textId="77777777"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DBC51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Rendimiento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25F3D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Catálogo en menos de 3 s; checkout y tx.commit en menos de 5 s; cambio de estado de pedido, validación de región y promedio de calificaciones en menos de 2 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08D7D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100% de las mediciones dentro del límite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4E728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NF-05 (RNF02)</w:t>
            </w:r>
          </w:p>
        </w:tc>
      </w:tr>
      <w:tr w:rsidR="006B11F1" w:rsidRPr="009C7BEF" w14:paraId="22650B67" w14:textId="77777777"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44BFD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Usabilidad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F6D7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Navegación pública hasta el checkout, formularios con validaciones claras (Vuelidate) y mensajes de error comprensibles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98804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Cliente, Vendedor y Administrador completan su flujo principal sin ayuda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7EB15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Prueba con 3 usuarios, uno por rol (S10)</w:t>
            </w:r>
          </w:p>
        </w:tc>
      </w:tr>
      <w:tr w:rsidR="006B11F1" w:rsidRPr="009C7BEF" w14:paraId="0EC13F54" w14:textId="77777777"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7330E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Compatibilidad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2705F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Aplicación web responsive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1DF4C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Funciona en Chrome, Edge y Firefox actuales y en vista móvil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4575B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Revisión manual de interfaz (S9–S10)</w:t>
            </w:r>
          </w:p>
        </w:tc>
      </w:tr>
      <w:tr w:rsidR="006B11F1" w:rsidRPr="009C7BEF" w14:paraId="53DC3899" w14:textId="77777777"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A7313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Mantenibilidad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16D6B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Código ordenado, versionado y revisado por el otro integrante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37902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Cobertura ≥ 80% y 0 errores de lint en la rama principal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A317F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Pytest, ESLint, Ruff y GitHub Actions</w:t>
            </w:r>
          </w:p>
        </w:tc>
      </w:tr>
      <w:tr w:rsidR="006B11F1" w:rsidRPr="009C7BEF" w14:paraId="5F0C7759" w14:textId="77777777">
        <w:trPr>
          <w:cantSplit/>
        </w:trPr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7430CE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Disponibilidad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8125E6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Sistema desplegado y estable para las demostraciones</w:t>
            </w:r>
          </w:p>
        </w:tc>
        <w:tc>
          <w:tcPr>
            <w:tcW w:w="2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97EB4E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Despliegue verificado antes de H06 y de la entrega final</w:t>
            </w:r>
          </w:p>
        </w:tc>
        <w:tc>
          <w:tcPr>
            <w:tcW w:w="2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2AE7D3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Verificación de despliegue (6.5)</w:t>
            </w:r>
          </w:p>
        </w:tc>
      </w:tr>
    </w:tbl>
    <w:p w14:paraId="7C4B682C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t>5. Estándares de calidad del proceso</w:t>
      </w:r>
    </w:p>
    <w:p w14:paraId="73E84DD4" w14:textId="77777777" w:rsidR="006B11F1" w:rsidRPr="009C7BEF" w:rsidRDefault="00000000">
      <w:pPr>
        <w:keepNext/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Para dos personas, el proceso de calidad debe ser liviano. Estas son las reglas que aplicaremos:</w:t>
      </w:r>
    </w:p>
    <w:p w14:paraId="31FEA2F2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Control de versiones:</w:t>
      </w:r>
      <w:r w:rsidRPr="009C7BEF">
        <w:rPr>
          <w:rFonts w:ascii="Calibri" w:hAnsi="Calibri" w:cs="Calibri"/>
        </w:rPr>
        <w:t xml:space="preserve"> Git/GitHub con ramas por funcionalidad. Nadie sube cambios directo a la rama principal; todo entra por pull request.</w:t>
      </w:r>
    </w:p>
    <w:p w14:paraId="10BDEB2B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Revisión cruzada:</w:t>
      </w:r>
      <w:r w:rsidRPr="009C7BEF">
        <w:rPr>
          <w:rFonts w:ascii="Calibri" w:hAnsi="Calibri" w:cs="Calibri"/>
        </w:rPr>
        <w:t xml:space="preserve"> cada pull request y cada documento lo revisa el otro integrante antes de aprobarse.</w:t>
      </w:r>
    </w:p>
    <w:p w14:paraId="60F38E83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Convenciones de código:</w:t>
      </w:r>
      <w:r w:rsidRPr="009C7BEF">
        <w:rPr>
          <w:rFonts w:ascii="Calibri" w:hAnsi="Calibri" w:cs="Calibri"/>
        </w:rPr>
        <w:t xml:space="preserve"> Python con PEP 8 (verificado con Ruff) y Vue/JavaScript con ESLint y Prettier. GitHub Actions ejecuta lint y pruebas en cada pull request.</w:t>
      </w:r>
    </w:p>
    <w:p w14:paraId="7AAF12C6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Secretos seguros: las credenciales de Webpay, Resend, Supabase y GCP se guardan solo en Secret Manager o en variables de entorno, nunca en el código.</w:t>
      </w:r>
    </w:p>
    <w:p w14:paraId="2970384E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Seguimiento semanal:</w:t>
      </w:r>
      <w:r w:rsidRPr="009C7BEF">
        <w:rPr>
          <w:rFonts w:ascii="Calibri" w:hAnsi="Calibri" w:cs="Calibri"/>
        </w:rPr>
        <w:t xml:space="preserve"> una reunión por semana con minuta de avance, bloqueos, riesgos, defectos y costos.</w:t>
      </w:r>
    </w:p>
    <w:p w14:paraId="512CE446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lastRenderedPageBreak/>
        <w:t>Control de cambios:</w:t>
      </w:r>
      <w:r w:rsidRPr="009C7BEF">
        <w:rPr>
          <w:rFonts w:ascii="Calibri" w:hAnsi="Calibri" w:cs="Calibri"/>
        </w:rPr>
        <w:t xml:space="preserve"> toda solicitud nueva se evalúa por su impacto en tiempo, riesgo, pruebas y costo antes de aceptarla.</w:t>
      </w:r>
    </w:p>
    <w:p w14:paraId="423E2666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5.1 Definición de “terminado”</w:t>
      </w:r>
    </w:p>
    <w:p w14:paraId="6553F024" w14:textId="77777777" w:rsidR="006B11F1" w:rsidRPr="009C7BEF" w:rsidRDefault="00000000">
      <w:pPr>
        <w:keepNext/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Una tarea o funcionalidad se considera terminada solo si cumple estos cinco puntos: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5400"/>
        <w:gridCol w:w="3260"/>
      </w:tblGrid>
      <w:tr w:rsidR="006B11F1" w:rsidRPr="009C7BEF" w14:paraId="649FB2F7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30942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N°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B09EC5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C7B60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Evidencia</w:t>
            </w:r>
          </w:p>
        </w:tc>
      </w:tr>
      <w:tr w:rsidR="006B11F1" w:rsidRPr="009C7BEF" w14:paraId="0212827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A187F1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E91D1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El código fue revisado y aprobado por el otro integrante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0CD9F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Pull request aprobado</w:t>
            </w:r>
          </w:p>
        </w:tc>
      </w:tr>
      <w:tr w:rsidR="006B11F1" w:rsidRPr="009C7BEF" w14:paraId="06C7334C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23EFBE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2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B0FDB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Pasan el lint y las pruebas automáticas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01BD4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Resultado de GitHub Actions</w:t>
            </w:r>
          </w:p>
        </w:tc>
      </w:tr>
      <w:tr w:rsidR="006B11F1" w:rsidRPr="009C7BEF" w14:paraId="7EE43463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7B0A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3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11639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El criterio de aceptación del ERS fue probado y aprobado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267F0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Caso de prueba ejecutado con resultado</w:t>
            </w:r>
          </w:p>
        </w:tc>
      </w:tr>
      <w:tr w:rsidR="006B11F1" w:rsidRPr="009C7BEF" w14:paraId="62294BA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BABC0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B20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No quedan defectos críticos ni altos abiertos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D7CEE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Registro de defectos</w:t>
            </w:r>
          </w:p>
        </w:tc>
      </w:tr>
      <w:tr w:rsidR="006B11F1" w:rsidRPr="009C7BEF" w14:paraId="71FE49B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4860C4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5</w:t>
            </w:r>
          </w:p>
        </w:tc>
        <w:tc>
          <w:tcPr>
            <w:tcW w:w="5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B53F42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La documentación afectada está actualizada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488AB6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Documento con versión nueva</w:t>
            </w:r>
          </w:p>
        </w:tc>
      </w:tr>
    </w:tbl>
    <w:p w14:paraId="4360183A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t>6. Aseguramiento y control de calidad</w:t>
      </w:r>
    </w:p>
    <w:p w14:paraId="588E3C04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6.1 Pruebas por nivel</w:t>
      </w:r>
    </w:p>
    <w:p w14:paraId="63A14236" w14:textId="77777777" w:rsidR="006B11F1" w:rsidRPr="009C7BEF" w:rsidRDefault="00000000">
      <w:pPr>
        <w:keepNext/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Seguimos la estrategia del Plan de Pruebas Inicial. Primero se prueban unidades pequeñas, luego las conexiones y al final los flujos completos. Si una dependencia externa falla, usamos mocks o stubs y repetimos la validación real después.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860"/>
        <w:gridCol w:w="2500"/>
        <w:gridCol w:w="1200"/>
      </w:tblGrid>
      <w:tr w:rsidR="006B11F1" w:rsidRPr="009C7BEF" w14:paraId="1BACD2F1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60CE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Nivel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D8BF8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Qué se verifica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3747F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Herramienta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D0F751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Semanas</w:t>
            </w:r>
          </w:p>
        </w:tc>
      </w:tr>
      <w:tr w:rsidR="006B11F1" w:rsidRPr="009C7BEF" w14:paraId="0AA25E06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52C6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Unitarias backend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258F3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Lógica de la integración con Webpay Mall (cálculo del fee y de la tarifa fija, orden de las transacciones) y funciones y triggers de PostgreSQL (palabras prohibidas, cobertura regional, código de entrega y amonestaciones)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F3E70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Pytest (cobertura ≥ 80%)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F1E9C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6 a 10</w:t>
            </w:r>
          </w:p>
        </w:tc>
      </w:tr>
      <w:tr w:rsidR="006B11F1" w:rsidRPr="009C7BEF" w14:paraId="5BA7D4C2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FDC0D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Integración API y BD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DC5FA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Endpoints de FastAPI de la integración con Webpay, consultas PostgREST, políticas RLS, policies, grants por rol y permisos de almacenamiento de los documentos de postulación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4DAE0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Pytest + httpx (API y endpoint REST de Supabase)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1A3D1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8 a 10</w:t>
            </w:r>
          </w:p>
        </w:tc>
      </w:tr>
      <w:tr w:rsidR="006B11F1" w:rsidRPr="009C7BEF" w14:paraId="476648AF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99F21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Pasarela de pago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EA21F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create, redirección, token_ws, commit, idempotencia y dispersión (Split Payment)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26F6D8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Transbank SDK Test; logs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D8BA0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7 a 10</w:t>
            </w:r>
          </w:p>
        </w:tc>
      </w:tr>
      <w:tr w:rsidR="006B11F1" w:rsidRPr="009C7BEF" w14:paraId="65CEEFA2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FF31C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Frontend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2453D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Integración del frontend: navegación, formularios, catálogo, carrito, paneles y código de entrega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B2193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Vitest (componentes y servicios) y pruebas manuales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7DCA8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7 a 10</w:t>
            </w:r>
          </w:p>
        </w:tc>
      </w:tr>
      <w:tr w:rsidR="006B11F1" w:rsidRPr="009C7BEF" w14:paraId="30513E1B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CC173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Extremo a extremo (E2E)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A321A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Flujos completos desde la navegación hasta la calificación y el cierre del pedido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4FA00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Cypress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BAC62A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9 a 11</w:t>
            </w:r>
          </w:p>
        </w:tc>
      </w:tr>
      <w:tr w:rsidR="006B11F1" w:rsidRPr="009C7BEF" w14:paraId="5259DAD0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C86D99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Seguridad</w:t>
            </w:r>
          </w:p>
        </w:tc>
        <w:tc>
          <w:tcPr>
            <w:tcW w:w="3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214D9E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Tokens, permisos por rol, RLS, policies, grants, permisos de almacenamiento y exposición de datos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AB615E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OWASP ZAP y revisión manual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C32B1D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9 a 11</w:t>
            </w:r>
          </w:p>
        </w:tc>
      </w:tr>
    </w:tbl>
    <w:p w14:paraId="5C2C5140" w14:textId="77777777" w:rsidR="006B11F1" w:rsidRPr="009C7BEF" w:rsidRDefault="00000000">
      <w:pPr>
        <w:spacing w:before="120"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Prioridad de las pruebas: login y permisos, checkout, pago, código de entrega y cobertura regional, porque afectan dinero, seguridad y confianza del usuario.</w:t>
      </w:r>
    </w:p>
    <w:p w14:paraId="2B35EF79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lastRenderedPageBreak/>
        <w:t>6.2 Calidad por entregable e hito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300"/>
        <w:gridCol w:w="4000"/>
        <w:gridCol w:w="3360"/>
      </w:tblGrid>
      <w:tr w:rsidR="006B11F1" w:rsidRPr="009C7BEF" w14:paraId="54A21697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30CC0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0FDE92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Semana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DA3917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Qué debe estar listo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CD0E1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Cómo se verifica</w:t>
            </w:r>
          </w:p>
        </w:tc>
      </w:tr>
      <w:tr w:rsidR="006B11F1" w:rsidRPr="009C7BEF" w14:paraId="0CBBE0B3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498C5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H01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99347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 – 17/09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7E19F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Acta, EDT, Gantt, RACI, riesgos y Plan de Pruebas Inicial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B7BC3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Revisión cruzada de completitud</w:t>
            </w:r>
          </w:p>
        </w:tc>
      </w:tr>
      <w:tr w:rsidR="006B11F1" w:rsidRPr="009C7BEF" w14:paraId="47620F84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A7E35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H02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C9F9F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3 – 01/10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8765C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ERS, arquitectura, modelo de datos, mockups y este plan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575B9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Cada requisito tiene criterio de aceptación</w:t>
            </w:r>
          </w:p>
        </w:tc>
      </w:tr>
      <w:tr w:rsidR="006B11F1" w:rsidRPr="009C7BEF" w14:paraId="7637AD6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FA1C5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H03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1ED45A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8 – 05/11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C58638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Backend, frontend y BD integrados en una versión de prueba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BAE03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Funciones principales probadas de punta a punta</w:t>
            </w:r>
          </w:p>
        </w:tc>
      </w:tr>
      <w:tr w:rsidR="006B11F1" w:rsidRPr="009C7BEF" w14:paraId="2EB98054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058245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H04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63702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10 – 19/11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D24EE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Checkout con Webpay Mall, código de entrega y calificaciones probados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29B96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Resultados de pruebas críticas registrados</w:t>
            </w:r>
          </w:p>
        </w:tc>
      </w:tr>
      <w:tr w:rsidR="006B11F1" w:rsidRPr="009C7BEF" w14:paraId="431544E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7CD21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H05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9458FA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11 – 26/11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26577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Alcance verificado contra los 22 requerimientos vigentes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7737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Matriz de trazabilidad sin pendientes críticos</w:t>
            </w:r>
          </w:p>
        </w:tc>
      </w:tr>
      <w:tr w:rsidR="006B11F1" w:rsidRPr="009C7BEF" w14:paraId="0720090C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01B70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H06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D832B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12 – 03/12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1F14F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Despliegue, soporte, mantenimiento y manuales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730F5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Documentos coinciden con la versión desplegada</w:t>
            </w:r>
          </w:p>
        </w:tc>
      </w:tr>
      <w:tr w:rsidR="006B11F1" w:rsidRPr="009C7BEF" w14:paraId="449FBA31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07CAAD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H07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F74D54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13 – 10/12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5E5A5F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Informe final, evidencias y presentación</w:t>
            </w:r>
          </w:p>
        </w:tc>
        <w:tc>
          <w:tcPr>
            <w:tcW w:w="3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BDB398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Revisión cruzada final</w:t>
            </w:r>
          </w:p>
        </w:tc>
      </w:tr>
    </w:tbl>
    <w:p w14:paraId="3EB6B9E6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6.3 Evidencias de calidad</w:t>
      </w:r>
    </w:p>
    <w:p w14:paraId="03068D11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Guardamos en el repositorio los resultados de Pytest (backend) y de Vitest y Cypress (frontend), el informe de OWASP ZAP, las capturas de los casos críticos, las minutas semanales y el registro de defectos. Estas evidencias alimentan el Plan de Pruebas Final y el Reporte de Estatus Final.</w:t>
      </w:r>
    </w:p>
    <w:p w14:paraId="2D5E76DB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t>7. Roles y responsabilidades de calidad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4560"/>
        <w:gridCol w:w="2700"/>
      </w:tblGrid>
      <w:tr w:rsidR="006B11F1" w:rsidRPr="009C7BEF" w14:paraId="5CBCCB9D" w14:textId="77777777">
        <w:trPr>
          <w:cantSplit/>
          <w:tblHeader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02737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13BCA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Responsabilidad principal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38024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Responsabilidad compartida</w:t>
            </w:r>
          </w:p>
        </w:tc>
      </w:tr>
      <w:tr w:rsidR="006B11F1" w:rsidRPr="009C7BEF" w14:paraId="681C8939" w14:textId="77777777"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DC341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Vicente Rivera</w:t>
            </w:r>
          </w:p>
          <w:p w14:paraId="07C7CE9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(Jefe de Proyecto y backend)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4D6E7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Calidad del backend: pruebas unitarias y de integración, integración con Webpay Mall, RLS, policies, grants y manejo de secretos. Control del presupuesto y del seguimiento de costos.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92BAF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Revisión cruzada, minuta semanal, control de cambios y verificación de alcance.</w:t>
            </w:r>
          </w:p>
        </w:tc>
      </w:tr>
      <w:tr w:rsidR="006B11F1" w:rsidRPr="009C7BEF" w14:paraId="617DE47A" w14:textId="77777777"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C93F9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Ignacio Fuenzalida</w:t>
            </w:r>
          </w:p>
          <w:p w14:paraId="2898CB8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(IT frontend)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C423A8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Calidad del frontend: pruebas Vitest y E2E, validaciones, usabilidad y compatibilidad. Registro de defectos y control de evidencias.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9886F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Revisión cruzada, minuta semanal, control de cambios y verificación de alcance.</w:t>
            </w:r>
          </w:p>
        </w:tc>
      </w:tr>
      <w:tr w:rsidR="006B11F1" w:rsidRPr="009C7BEF" w14:paraId="50F7EE08" w14:textId="77777777">
        <w:trPr>
          <w:cantSplit/>
        </w:trPr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B3121C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Equipo docente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CA8454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Revisión académica de los entregables. Se le escalan las decisiones que afecten el alcance comprometido.</w:t>
            </w:r>
          </w:p>
        </w:tc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436148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—</w:t>
            </w:r>
          </w:p>
        </w:tc>
      </w:tr>
    </w:tbl>
    <w:p w14:paraId="527391CE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lastRenderedPageBreak/>
        <w:t>8. Gestión de defectos</w:t>
      </w:r>
    </w:p>
    <w:p w14:paraId="36AD7111" w14:textId="77777777" w:rsidR="006B11F1" w:rsidRPr="009C7BEF" w:rsidRDefault="00000000">
      <w:pPr>
        <w:keepNext/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 xml:space="preserve">Registramos cada defecto como un issue en GitHub con su severidad, pasos para reproducirlo y el caso de prueba asociado. Estados: </w:t>
      </w:r>
      <w:r w:rsidRPr="009C7BEF">
        <w:rPr>
          <w:rFonts w:ascii="Calibri" w:hAnsi="Calibri" w:cs="Calibri"/>
          <w:b/>
          <w:bCs/>
        </w:rPr>
        <w:t>Abierto → En corrección → En verificación → Cerrado</w:t>
      </w:r>
      <w:r w:rsidRPr="009C7BEF">
        <w:rPr>
          <w:rFonts w:ascii="Calibri" w:hAnsi="Calibri" w:cs="Calibri"/>
        </w:rPr>
        <w:t>. Un defecto se cierra solo después de repetir la prueba que lo detectó.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960"/>
        <w:gridCol w:w="3000"/>
      </w:tblGrid>
      <w:tr w:rsidR="006B11F1" w:rsidRPr="009C7BEF" w14:paraId="3B6CCC06" w14:textId="77777777">
        <w:trPr>
          <w:cantSplit/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D75BD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Severidad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EBFA15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E5FEC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Plazo de corrección</w:t>
            </w:r>
          </w:p>
        </w:tc>
      </w:tr>
      <w:tr w:rsidR="006B11F1" w:rsidRPr="009C7BEF" w14:paraId="622F1F7E" w14:textId="77777777"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DBDBF1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Crítica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919D9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Bloquea login, checkout, pago o entrega, o expone datos sensibles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5893E8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Inmediato; se detiene el avance de nuevas funciones</w:t>
            </w:r>
          </w:p>
        </w:tc>
      </w:tr>
      <w:tr w:rsidR="006B11F1" w:rsidRPr="009C7BEF" w14:paraId="6F9B6818" w14:textId="77777777"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81A7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Alta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7CEE9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Una función principal falla y no tiene alternativa simple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DA3E7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Máximo 3 días hábiles</w:t>
            </w:r>
          </w:p>
        </w:tc>
      </w:tr>
      <w:tr w:rsidR="006B11F1" w:rsidRPr="009C7BEF" w14:paraId="1BC83493" w14:textId="77777777"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54D2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Media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9D319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Una función secundaria falla o hay un mensaje de error incorrecto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858EE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Dentro de la semana siguiente</w:t>
            </w:r>
          </w:p>
        </w:tc>
      </w:tr>
      <w:tr w:rsidR="006B11F1" w:rsidRPr="009C7BEF" w14:paraId="7EE46138" w14:textId="77777777">
        <w:trPr>
          <w:cantSplit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959A28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Baja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47D790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Detalle visual o de redacción sin efecto en el flujo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25596C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Cuando haya tiempo, antes de la entrega final</w:t>
            </w:r>
          </w:p>
        </w:tc>
      </w:tr>
    </w:tbl>
    <w:p w14:paraId="1A728B25" w14:textId="77777777" w:rsidR="006B11F1" w:rsidRPr="009C7BEF" w:rsidRDefault="00000000">
      <w:pPr>
        <w:spacing w:before="120"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Criterio de salida:</w:t>
      </w:r>
      <w:r w:rsidRPr="009C7BEF">
        <w:rPr>
          <w:rFonts w:ascii="Calibri" w:hAnsi="Calibri" w:cs="Calibri"/>
        </w:rPr>
        <w:t xml:space="preserve"> 0 defectos críticos y 0 altos abiertos al cierre del desarrollo (H05).</w:t>
      </w:r>
    </w:p>
    <w:p w14:paraId="3750D033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t>9. Plan de costos</w:t>
      </w:r>
    </w:p>
    <w:p w14:paraId="3250127D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9.1 Criterios del presupuesto</w:t>
      </w:r>
    </w:p>
    <w:p w14:paraId="44E216B5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Moneda: pesos chilenos (CLP). Tipo de cambio supuesto: $950 por USD.</w:t>
      </w:r>
    </w:p>
    <w:p w14:paraId="308DFAAB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 xml:space="preserve">El valor hora de cada rol se toma de la tabla de sueldos referenciales del Acta (talent.com). Las horas del equipo se </w:t>
      </w:r>
      <w:r w:rsidRPr="009C7BEF">
        <w:rPr>
          <w:rFonts w:ascii="Calibri" w:hAnsi="Calibri" w:cs="Calibri"/>
          <w:b/>
          <w:bCs/>
        </w:rPr>
        <w:t>valorizan a precio de mercado, pero no se pagan</w:t>
      </w:r>
      <w:r w:rsidRPr="009C7BEF">
        <w:rPr>
          <w:rFonts w:ascii="Calibri" w:hAnsi="Calibri" w:cs="Calibri"/>
        </w:rPr>
        <w:t>.</w:t>
      </w:r>
    </w:p>
    <w:p w14:paraId="51D62E96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El desembolso real es solo lo que el equipo paga de su bolsillo: dominio, internet, depreciación de equipos e impresión. Los conceptos sin cotización se registran en $0 con su estado marcado como pendiente, de modo que no alteran el total hasta contar con el valor real. Los servicios de nube se cubren con niveles gratuitos y con los créditos de GCP.</w:t>
      </w:r>
    </w:p>
    <w:p w14:paraId="20C620BD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La contingencia es una reserva para imprevistos y se aplica sobre el subtotal. Las cifras sin fuente en la documentación son estimaciones del equipo para Chile.</w:t>
      </w:r>
    </w:p>
    <w:p w14:paraId="6BE2A9E1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9.2 Escenarios del presupuesto</w:t>
      </w:r>
    </w:p>
    <w:p w14:paraId="719C17EB" w14:textId="77777777" w:rsidR="006B11F1" w:rsidRPr="009C7BEF" w:rsidRDefault="00000000">
      <w:pPr>
        <w:keepNext/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 xml:space="preserve">Calculamos tres escenarios en la planilla «Presupuesto Estimado(Flujo de Caja) CuTuCo.xlsx». </w:t>
      </w:r>
      <w:r w:rsidRPr="009C7BEF">
        <w:rPr>
          <w:rFonts w:ascii="Calibri" w:hAnsi="Calibri" w:cs="Calibri"/>
          <w:b/>
          <w:bCs/>
        </w:rPr>
        <w:t>Adoptamos el escenario Bajo como presupuesto base</w:t>
      </w:r>
      <w:r w:rsidRPr="009C7BEF">
        <w:rPr>
          <w:rFonts w:ascii="Calibri" w:hAnsi="Calibri" w:cs="Calibri"/>
        </w:rPr>
        <w:t xml:space="preserve">, porque es el que corresponde a la Opción A definida en el Acta. Los escenarios Medio y Alto quedan como referencia y solo se considerarán si una necesidad real del proyecto lo exige y si existe presupuesto aprobado. Criterio de decisión: (1) necesidad real y trazable a un requerimiento </w:t>
      </w:r>
      <w:r w:rsidRPr="009C7BEF">
        <w:rPr>
          <w:rFonts w:ascii="Calibri" w:hAnsi="Calibri" w:cs="Calibri"/>
        </w:rPr>
        <w:lastRenderedPageBreak/>
        <w:t>del ERS; (2) viabilidad económica dentro del presupuesto base y su contingencia; (3) coherencia con el alcance del MVP. Ningún servicio se contrata por defecto.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200"/>
        <w:gridCol w:w="2200"/>
        <w:gridCol w:w="2200"/>
      </w:tblGrid>
      <w:tr w:rsidR="006B11F1" w:rsidRPr="009C7BEF" w14:paraId="1D7A8997" w14:textId="77777777">
        <w:trPr>
          <w:cantSplit/>
          <w:tblHeader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4E83E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267C7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Bajo (base)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82F69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Medio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3AF29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Alto</w:t>
            </w:r>
          </w:p>
        </w:tc>
      </w:tr>
      <w:tr w:rsidR="006B11F1" w:rsidRPr="009C7BEF" w14:paraId="72E1C341" w14:textId="77777777"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FD38CE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Enfoque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78ED3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Opción A: niveles gratuitos y créditos GCP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31EBB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Opción A con planes pagados y asesoría legal básica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2BC2E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Opción B: producción con redundancia y revisión de seguridad</w:t>
            </w:r>
          </w:p>
        </w:tc>
      </w:tr>
      <w:tr w:rsidR="006B11F1" w:rsidRPr="009C7BEF" w14:paraId="407D9C6C" w14:textId="77777777"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0C878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Horas del equipo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B91EA4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520 h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D93B11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600 h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BBCB92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700 h</w:t>
            </w:r>
          </w:p>
        </w:tc>
      </w:tr>
      <w:tr w:rsidR="006B11F1" w:rsidRPr="009C7BEF" w14:paraId="0F1B822E" w14:textId="77777777"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E6A2C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Recurso humano valorizado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000B22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$4.806.625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B7D279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$5.546.675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122B7E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$6.437.340</w:t>
            </w:r>
          </w:p>
        </w:tc>
      </w:tr>
      <w:tr w:rsidR="006B11F1" w:rsidRPr="009C7BEF" w14:paraId="3D7B05C9" w14:textId="77777777"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5DC68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Infraestructura y servicios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94E14A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$11.400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937D9E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$185.250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46F6E9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$336.300</w:t>
            </w:r>
          </w:p>
        </w:tc>
      </w:tr>
      <w:tr w:rsidR="006B11F1" w:rsidRPr="009C7BEF" w14:paraId="4A33FF91" w14:textId="77777777"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99D24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Otros costos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23CE7F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$296.664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B5B189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$588.832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688E9D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$1.172.168</w:t>
            </w:r>
          </w:p>
        </w:tc>
      </w:tr>
      <w:tr w:rsidR="006B11F1" w:rsidRPr="009C7BEF" w14:paraId="335A5387" w14:textId="77777777"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E0320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Subtotal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ECBE10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$5.114.689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44657F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$6.320.757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F69260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$7.945.808</w:t>
            </w:r>
          </w:p>
        </w:tc>
      </w:tr>
      <w:tr w:rsidR="006B11F1" w:rsidRPr="009C7BEF" w14:paraId="178E8194" w14:textId="77777777"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43360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Contingencia (10% / 15% / 20%)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7CE8DC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$511.469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FE27D8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$948.114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4B8733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$1.589.162</w:t>
            </w:r>
          </w:p>
        </w:tc>
      </w:tr>
      <w:tr w:rsidR="006B11F1" w:rsidRPr="009C7BEF" w14:paraId="2B8AFAD6" w14:textId="77777777"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0DBA4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TOTAL ESTIMADO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AFC90D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$5.626.158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C0C559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$7.268.871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5FC811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$9.534.970</w:t>
            </w:r>
          </w:p>
        </w:tc>
      </w:tr>
      <w:tr w:rsidR="006B11F1" w:rsidRPr="009C7BEF" w14:paraId="6FD7F6A8" w14:textId="77777777"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C5A23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Total en USD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ED9E01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USD 5.922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D36DC5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USD 7.651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26FD81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USD 10.037</w:t>
            </w:r>
          </w:p>
        </w:tc>
      </w:tr>
      <w:tr w:rsidR="006B11F1" w:rsidRPr="009C7BEF" w14:paraId="354D251C" w14:textId="77777777"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1E7F18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Desembolso real con contingencia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FEA37E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$338.870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D30892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$890.194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FC7CD1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$1.810.162</w:t>
            </w:r>
          </w:p>
        </w:tc>
      </w:tr>
      <w:tr w:rsidR="006B11F1" w:rsidRPr="009C7BEF" w14:paraId="2A8D71C1" w14:textId="77777777">
        <w:trPr>
          <w:cantSplit/>
        </w:trPr>
        <w:tc>
          <w:tcPr>
            <w:tcW w:w="2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56C13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Conceptos pendientes de cotización (registrados en $0, sección 9.9)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600AFD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926FF1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DD36D4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$0</w:t>
            </w:r>
          </w:p>
        </w:tc>
      </w:tr>
    </w:tbl>
    <w:p w14:paraId="0F51D401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9.3 Presupuesto detallado del escenario base (Bajo)</w:t>
      </w:r>
    </w:p>
    <w:p w14:paraId="513EEA80" w14:textId="77777777" w:rsidR="006B11F1" w:rsidRPr="009C7BEF" w:rsidRDefault="00000000">
      <w:pPr>
        <w:keepNext/>
        <w:spacing w:after="8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a) Recurso humano</w:t>
      </w:r>
      <w:r w:rsidRPr="009C7BEF">
        <w:rPr>
          <w:rFonts w:ascii="Calibri" w:hAnsi="Calibri" w:cs="Calibri"/>
        </w:rPr>
        <w:t xml:space="preserve"> (20 horas semanales por integrante durante 13 semanas = 260 horas cada uno)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800"/>
        <w:gridCol w:w="1400"/>
        <w:gridCol w:w="1860"/>
        <w:gridCol w:w="1200"/>
      </w:tblGrid>
      <w:tr w:rsidR="006B11F1" w:rsidRPr="009C7BEF" w14:paraId="5FAB6FA7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B71CE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DD5D35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4D7B3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Horas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7CD95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Valor hora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AA380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Costo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33DCD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6B11F1" w:rsidRPr="009C7BEF" w14:paraId="3421F34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E7542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Jefe de Proyecto (JP)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951B8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Vicente Rivera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4D5046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50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0D658C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$13.388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FD76B7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$669.400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C00F91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Valorizado</w:t>
            </w:r>
          </w:p>
        </w:tc>
      </w:tr>
      <w:tr w:rsidR="006B11F1" w:rsidRPr="009C7BEF" w14:paraId="5C8425F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7F078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Arquitecto de Software (ASW)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51390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Vicente Rivera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05EA6E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FF67D5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$11.156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3F4978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$502.020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F25A6F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Valorizado</w:t>
            </w:r>
          </w:p>
        </w:tc>
      </w:tr>
      <w:tr w:rsidR="006B11F1" w:rsidRPr="009C7BEF" w14:paraId="145A4C3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B2810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Administrador de BBDD (DBA)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0CB7C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Vicente Rivera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F2CC53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9531C4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$10.041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A30D16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$451.845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39D983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Valorizado</w:t>
            </w:r>
          </w:p>
        </w:tc>
      </w:tr>
      <w:tr w:rsidR="006B11F1" w:rsidRPr="009C7BEF" w14:paraId="4DBCE4BC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2B64D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Programador Full Stack 1 – Backend (PFS 1)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C9BF5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Vicente Rivera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BF3266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120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FD1DD7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$7.438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6E9014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$892.560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9A3A57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Valorizado</w:t>
            </w:r>
          </w:p>
        </w:tc>
      </w:tr>
      <w:tr w:rsidR="006B11F1" w:rsidRPr="009C7BEF" w14:paraId="2289BBC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9FE4E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Analista de Procesos (AP)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1E2FC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Ignacio Fuenzalida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1B399C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60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7DF37B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$5.950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F29F68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$357.000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DA3E02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Valorizado</w:t>
            </w:r>
          </w:p>
        </w:tc>
      </w:tr>
      <w:tr w:rsidR="006B11F1" w:rsidRPr="009C7BEF" w14:paraId="289693D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F58E3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Programador Full Stack 2 – Frontend (PFS 2)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5ECF4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Ignacio Fuenzalida</w:t>
            </w: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424F61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200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EBF063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$9.669</w:t>
            </w: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71EFFE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$1.933.800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1097A6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Valorizado</w:t>
            </w:r>
          </w:p>
        </w:tc>
      </w:tr>
      <w:tr w:rsidR="006B11F1" w:rsidRPr="009C7BEF" w14:paraId="29C658C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B3A050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Subtotal recurso humano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19EFC9" w14:textId="77777777" w:rsidR="006B11F1" w:rsidRPr="009C7BEF" w:rsidRDefault="006B11F1">
            <w:pPr>
              <w:spacing w:line="252" w:lineRule="auto"/>
              <w:rPr>
                <w:rFonts w:ascii="Calibri" w:hAnsi="Calibri" w:cs="Calibri"/>
              </w:rPr>
            </w:pPr>
          </w:p>
        </w:tc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10B9E0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520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B7A7A2" w14:textId="77777777" w:rsidR="006B11F1" w:rsidRPr="009C7BEF" w:rsidRDefault="006B11F1">
            <w:pPr>
              <w:spacing w:line="252" w:lineRule="auto"/>
              <w:jc w:val="right"/>
              <w:rPr>
                <w:rFonts w:ascii="Calibri" w:hAnsi="Calibri" w:cs="Calibri"/>
              </w:rPr>
            </w:pPr>
          </w:p>
        </w:tc>
        <w:tc>
          <w:tcPr>
            <w:tcW w:w="1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A6C2D9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$4.806.625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8DE63C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—</w:t>
            </w:r>
          </w:p>
        </w:tc>
      </w:tr>
    </w:tbl>
    <w:p w14:paraId="39478622" w14:textId="77777777" w:rsidR="006B11F1" w:rsidRPr="009C7BEF" w:rsidRDefault="00000000">
      <w:pPr>
        <w:keepNext/>
        <w:spacing w:before="160" w:after="8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lastRenderedPageBreak/>
        <w:t>b) Infraestructura y servicios</w:t>
      </w:r>
      <w:r w:rsidRPr="009C7BEF">
        <w:rPr>
          <w:rFonts w:ascii="Calibri" w:hAnsi="Calibri" w:cs="Calibri"/>
        </w:rPr>
        <w:t xml:space="preserve"> (Opción A, 3 meses)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  <w:gridCol w:w="1660"/>
        <w:gridCol w:w="1700"/>
      </w:tblGrid>
      <w:tr w:rsidR="006B11F1" w:rsidRPr="009C7BEF" w14:paraId="72854A98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F18BAA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Servicio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87ACE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Uso en CuTuCo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012A4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Costo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C0CD01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6B11F1" w:rsidRPr="009C7BEF" w14:paraId="0317343C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8BA20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Dominio web (USD 12 al año)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D2D2B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Acceso público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EA5B92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$11.400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C7C681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Estimado</w:t>
            </w:r>
          </w:p>
        </w:tc>
      </w:tr>
      <w:tr w:rsidR="006B11F1" w:rsidRPr="009C7BEF" w14:paraId="750CC4B3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3B8E7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Vercel Hobby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D4DBE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Frontend Vue.js + Vite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03E1CA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F9CBCF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Confirmado</w:t>
            </w:r>
          </w:p>
        </w:tc>
      </w:tr>
      <w:tr w:rsidR="006B11F1" w:rsidRPr="009C7BEF" w14:paraId="67A2D821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E2F49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Supabase (nivel gratuito)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CD747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PostgreSQL, Auth, PostgREST y Storage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F98A2A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364932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Confirmado</w:t>
            </w:r>
          </w:p>
        </w:tc>
      </w:tr>
      <w:tr w:rsidR="006B11F1" w:rsidRPr="009C7BEF" w14:paraId="7F264E28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4A697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GCP Cloud Run + Secret Manager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BBECC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FastAPI + Docker, solo para la integración con Webpay Mall (créditos de USD 300 hasta el 29/11)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76F770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FF7487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Confirmado</w:t>
            </w:r>
          </w:p>
        </w:tc>
      </w:tr>
      <w:tr w:rsidR="006B11F1" w:rsidRPr="009C7BEF" w14:paraId="7771D9F4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91630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Resend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91896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Correos de autenticación y de negocio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51A16A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AA4DA7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Confirmado</w:t>
            </w:r>
          </w:p>
        </w:tc>
      </w:tr>
      <w:tr w:rsidR="006B11F1" w:rsidRPr="009C7BEF" w14:paraId="183F5BCC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C3611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Transbank Webpay Mall (integración)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71C94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Pagos en ambiente de pruebas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43EC5C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CF3C0C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Confirmado</w:t>
            </w:r>
          </w:p>
        </w:tc>
      </w:tr>
      <w:tr w:rsidR="006B11F1" w:rsidRPr="009C7BEF" w14:paraId="6A2FFD31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B166D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GitHub + GitHub Actions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4309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Repositorio y CI/CD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89A1F9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178401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Confirmado</w:t>
            </w:r>
          </w:p>
        </w:tc>
      </w:tr>
      <w:tr w:rsidR="006B11F1" w:rsidRPr="009C7BEF" w14:paraId="025E95EC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11310B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Subtotal infraestructura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935096" w14:textId="77777777" w:rsidR="006B11F1" w:rsidRPr="009C7BEF" w:rsidRDefault="006B11F1">
            <w:pPr>
              <w:spacing w:line="252" w:lineRule="auto"/>
              <w:rPr>
                <w:rFonts w:ascii="Calibri" w:hAnsi="Calibri" w:cs="Calibri"/>
              </w:rPr>
            </w:pP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8738F3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$11.400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A08D6E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—</w:t>
            </w:r>
          </w:p>
        </w:tc>
      </w:tr>
    </w:tbl>
    <w:p w14:paraId="01AA33DD" w14:textId="77777777" w:rsidR="006B11F1" w:rsidRPr="009C7BEF" w:rsidRDefault="00000000">
      <w:pPr>
        <w:keepNext/>
        <w:spacing w:before="160" w:after="8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c) Otros costos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200"/>
        <w:gridCol w:w="1660"/>
        <w:gridCol w:w="2100"/>
      </w:tblGrid>
      <w:tr w:rsidR="006B11F1" w:rsidRPr="009C7BEF" w14:paraId="721D2EF0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945071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DF07D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Cálculo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3D8A05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Costo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E4A86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6B11F1" w:rsidRPr="009C7BEF" w14:paraId="0014F3F6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9E9DE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Internet y electricidad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1BA1C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6 persona-mes × $25.000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19E506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$150.000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3E495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Estimado</w:t>
            </w:r>
          </w:p>
        </w:tc>
      </w:tr>
      <w:tr w:rsidR="006B11F1" w:rsidRPr="009C7BEF" w14:paraId="302D5032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DFD0F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Depreciación de notebooks propios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5FD70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6 equipo-mes × $19.444 (equipo de $700.000 en 36 meses)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C97D2B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$116.664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D388A0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Estimado</w:t>
            </w:r>
          </w:p>
        </w:tc>
      </w:tr>
      <w:tr w:rsidR="006B11F1" w:rsidRPr="009C7BEF" w14:paraId="04082D28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6A617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Impresión y material de la presentación final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2AAB4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Global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F9F62D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$30.000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65CA21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Estimado</w:t>
            </w:r>
          </w:p>
        </w:tc>
      </w:tr>
      <w:tr w:rsidR="006B11F1" w:rsidRPr="009C7BEF" w14:paraId="091897FD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B910D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Herramientas de desarrollo y diseño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C8534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VS Code, DBeaver, Figma y GitHub Desktop en versión gratuita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30EEEA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Gratis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4A7287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Confirmado (sin costo)</w:t>
            </w:r>
          </w:p>
        </w:tc>
      </w:tr>
      <w:tr w:rsidR="006B11F1" w:rsidRPr="009C7BEF" w14:paraId="30E98080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8B6A9A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Subtotal otros costos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85576E" w14:textId="77777777" w:rsidR="006B11F1" w:rsidRPr="009C7BEF" w:rsidRDefault="006B11F1">
            <w:pPr>
              <w:spacing w:line="252" w:lineRule="auto"/>
              <w:rPr>
                <w:rFonts w:ascii="Calibri" w:hAnsi="Calibri" w:cs="Calibri"/>
              </w:rPr>
            </w:pP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780DBA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$296.664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B3484D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—</w:t>
            </w:r>
          </w:p>
        </w:tc>
      </w:tr>
    </w:tbl>
    <w:p w14:paraId="08F37B45" w14:textId="77777777" w:rsidR="006B11F1" w:rsidRPr="009C7BEF" w:rsidRDefault="00000000">
      <w:pPr>
        <w:keepNext/>
        <w:spacing w:before="160" w:after="8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d) Resumen del presupuesto base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0"/>
        <w:gridCol w:w="2160"/>
      </w:tblGrid>
      <w:tr w:rsidR="006B11F1" w:rsidRPr="009C7BEF" w14:paraId="39A33208" w14:textId="77777777">
        <w:trPr>
          <w:cantSplit/>
          <w:tblHeader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CCA9D7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9CA642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Monto</w:t>
            </w:r>
          </w:p>
        </w:tc>
      </w:tr>
      <w:tr w:rsidR="006B11F1" w:rsidRPr="009C7BEF" w14:paraId="72E28617" w14:textId="77777777"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C320A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Desembolso real (infraestructura + otros costos)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C81537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$308.064</w:t>
            </w:r>
          </w:p>
        </w:tc>
      </w:tr>
      <w:tr w:rsidR="006B11F1" w:rsidRPr="009C7BEF" w14:paraId="2947AE60" w14:textId="77777777"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3F198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Recurso humano valorizado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C2ABDA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$4.806.625</w:t>
            </w:r>
          </w:p>
        </w:tc>
      </w:tr>
      <w:tr w:rsidR="006B11F1" w:rsidRPr="009C7BEF" w14:paraId="0348B3C3" w14:textId="77777777"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F96D18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Subtotal del proyecto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DB11DB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$5.114.689</w:t>
            </w:r>
          </w:p>
        </w:tc>
      </w:tr>
      <w:tr w:rsidR="006B11F1" w:rsidRPr="009C7BEF" w14:paraId="26F60972" w14:textId="77777777"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24F1F8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Contingencia 10%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637E6D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$511.469</w:t>
            </w:r>
          </w:p>
        </w:tc>
      </w:tr>
      <w:tr w:rsidR="006B11F1" w:rsidRPr="009C7BEF" w14:paraId="192F00B6" w14:textId="77777777"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D518F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TOTAL PRESUPUESTO ESTIMADO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2C225C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$5.626.158</w:t>
            </w:r>
          </w:p>
        </w:tc>
      </w:tr>
      <w:tr w:rsidR="006B11F1" w:rsidRPr="009C7BEF" w14:paraId="03E3EF3D" w14:textId="77777777"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3AFF1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Conceptos pendientes de cotización (registrados en $0)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57E473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$0</w:t>
            </w:r>
          </w:p>
        </w:tc>
      </w:tr>
      <w:tr w:rsidR="006B11F1" w:rsidRPr="009C7BEF" w14:paraId="64B9BAE4" w14:textId="77777777">
        <w:trPr>
          <w:cantSplit/>
        </w:trPr>
        <w:tc>
          <w:tcPr>
            <w:tcW w:w="7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5DBA5F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Desembolso real con contingencia (dinero que debemos tener disponible)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C3A5BA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$338.870</w:t>
            </w:r>
          </w:p>
        </w:tc>
      </w:tr>
    </w:tbl>
    <w:p w14:paraId="4443B35D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9.4 Proyección de continuidad (Opción B)</w:t>
      </w:r>
    </w:p>
    <w:p w14:paraId="7444DE42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 xml:space="preserve">Si el sistema pasara a producción, el informe estima una infraestructura de </w:t>
      </w:r>
      <w:r w:rsidRPr="009C7BEF">
        <w:rPr>
          <w:rFonts w:ascii="Calibri" w:hAnsi="Calibri" w:cs="Calibri"/>
          <w:b/>
          <w:bCs/>
        </w:rPr>
        <w:t>USD 100 a 120 al mes</w:t>
      </w:r>
      <w:r w:rsidRPr="009C7BEF">
        <w:rPr>
          <w:rFonts w:ascii="Calibri" w:hAnsi="Calibri" w:cs="Calibri"/>
        </w:rPr>
        <w:t xml:space="preserve"> ($95.000 a $114.000), es decir, entre $1.140.000 y $1.368.000 el primer año, más las comisiones de Webpay por transacción. Es una </w:t>
      </w:r>
      <w:r w:rsidRPr="009C7BEF">
        <w:rPr>
          <w:rFonts w:ascii="Calibri" w:hAnsi="Calibri" w:cs="Calibri"/>
          <w:b/>
          <w:bCs/>
        </w:rPr>
        <w:t>referencia</w:t>
      </w:r>
      <w:r w:rsidRPr="009C7BEF">
        <w:rPr>
          <w:rFonts w:ascii="Calibri" w:hAnsi="Calibri" w:cs="Calibri"/>
        </w:rPr>
        <w:t>: no forma parte del presupuesto base ni es un gasto comprometido del MVP.</w:t>
      </w:r>
    </w:p>
    <w:p w14:paraId="110F8443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lastRenderedPageBreak/>
        <w:t>9.5 Proyección plurianual del negocio, VAN y TIR</w:t>
      </w:r>
    </w:p>
    <w:p w14:paraId="1B51C29A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Además del presupuesto del proyecto, proyectamos el negocio a cinco años en la hoja «Flujo de Caja y Viabilidad» de la planilla. El MVP académico no factura: la proyección sirve para evaluar si el modelo se sostiene en producción y no forma parte del presupuesto base.</w:t>
      </w:r>
    </w:p>
    <w:p w14:paraId="2AA353A1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Supuestos del modelo. Los que no tienen fuente en la documentación quedan rotulados como supuestos y marcados como pendientes de confirmación: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600"/>
        <w:gridCol w:w="3260"/>
      </w:tblGrid>
      <w:tr w:rsidR="006B11F1" w:rsidRPr="009C7BEF" w14:paraId="6D1B9A9C" w14:textId="77777777">
        <w:trPr>
          <w:cantSplit/>
          <w:tblHeader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CC1E7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Supuesto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BA2A19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EE03F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6B11F1" w:rsidRPr="009C7BEF" w14:paraId="53D1D55E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07382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Fee de intermediación sobre la venta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00FB5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5% del GMV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B81385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Confirmado (ERS, RF-005 y RF-014)</w:t>
            </w:r>
          </w:p>
        </w:tc>
      </w:tr>
      <w:tr w:rsidR="006B11F1" w:rsidRPr="009C7BEF" w14:paraId="5CB6C4BE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F3615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Tarifa fija por pedido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E96F6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$3.500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6318B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Confirmado (ERS, RF-014)</w:t>
            </w:r>
          </w:p>
        </w:tc>
      </w:tr>
      <w:tr w:rsidR="006B11F1" w:rsidRPr="009C7BEF" w14:paraId="21BD2666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A69EB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Ticket promedio por pedido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22B4D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$12.000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80229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 (supuesto del equipo)</w:t>
            </w:r>
          </w:p>
        </w:tc>
      </w:tr>
      <w:tr w:rsidR="006B11F1" w:rsidRPr="009C7BEF" w14:paraId="14CE9E3B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6DB9D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Suscripción mensual por productor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D3F798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$9.900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CE48E0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confirmación; no se factura en el MVP</w:t>
            </w:r>
          </w:p>
        </w:tc>
      </w:tr>
      <w:tr w:rsidR="006B11F1" w:rsidRPr="009C7BEF" w14:paraId="32F14AD8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9903A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Adopción de la suscripción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2D8BF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15% el Año 1, hasta 45% el Año 5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60217A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 (supuesto del equipo)</w:t>
            </w:r>
          </w:p>
        </w:tc>
      </w:tr>
      <w:tr w:rsidR="006B11F1" w:rsidRPr="009C7BEF" w14:paraId="2B411672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D10E5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Productores activos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1F2F1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15 el Año 1, hasta 200 el Año 5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5D598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 (supuesto de penetración)</w:t>
            </w:r>
          </w:p>
        </w:tc>
      </w:tr>
      <w:tr w:rsidR="006B11F1" w:rsidRPr="009C7BEF" w14:paraId="58B62900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06CAE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Pedidos por productor al mes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A4238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 el Año 1, hasta 7 el Año 5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F35FF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 (supuesto del equipo)</w:t>
            </w:r>
          </w:p>
        </w:tc>
      </w:tr>
      <w:tr w:rsidR="006B11F1" w:rsidRPr="009C7BEF" w14:paraId="542D53F5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4FD8C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Infraestructura productiva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3BA30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USD 110 al mes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EA3CDA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Estimado (punto medio del rango documentado de USD 100 a 120)</w:t>
            </w:r>
          </w:p>
        </w:tc>
      </w:tr>
      <w:tr w:rsidR="006B11F1" w:rsidRPr="009C7BEF" w14:paraId="150EE570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FAB2E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Operación y soporte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ADF3A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40 horas al mes a $5.950 por hora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6A10B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 (valor hora del presupuesto base)</w:t>
            </w:r>
          </w:p>
        </w:tc>
      </w:tr>
      <w:tr w:rsidR="006B11F1" w:rsidRPr="009C7BEF" w14:paraId="14325534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84C7A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Tasa de descuento anual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ED882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15%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28CF22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confirmación: el proyecto no la define</w:t>
            </w:r>
          </w:p>
        </w:tc>
      </w:tr>
      <w:tr w:rsidR="006B11F1" w:rsidRPr="009C7BEF" w14:paraId="33EF76B5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FB649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Inversión inicial (Año 0)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4FA1C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$338.870 de desembolso más $4.806.625 de trabajo valorizado del equipo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FDC80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Estimado</w:t>
            </w:r>
          </w:p>
        </w:tc>
      </w:tr>
      <w:tr w:rsidR="006B11F1" w:rsidRPr="009C7BEF" w14:paraId="67E7221A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A9C02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Costos no incluidos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3CFC5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Captación de clientes (marketing), comisión de Transbank y trámites</w:t>
            </w:r>
          </w:p>
        </w:tc>
        <w:tc>
          <w:tcPr>
            <w:tcW w:w="3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AA937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cotización</w:t>
            </w:r>
          </w:p>
        </w:tc>
      </w:tr>
    </w:tbl>
    <w:p w14:paraId="2914274C" w14:textId="77777777" w:rsidR="006B11F1" w:rsidRPr="009C7BEF" w:rsidRDefault="00000000">
      <w:pPr>
        <w:keepNext/>
        <w:spacing w:before="160" w:after="8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Flujo de caja proyectado (miles de CLP, cifras de la planilla):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260"/>
        <w:gridCol w:w="1260"/>
        <w:gridCol w:w="1260"/>
        <w:gridCol w:w="1260"/>
        <w:gridCol w:w="1260"/>
        <w:gridCol w:w="1260"/>
      </w:tblGrid>
      <w:tr w:rsidR="006B11F1" w:rsidRPr="009C7BEF" w14:paraId="64B21BF6" w14:textId="77777777">
        <w:trPr>
          <w:cantSplit/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345F0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Flujo de caja (miles de CLP)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2DA5B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Año 0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3C57F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Año 1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06A44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Año 2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D9D91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Año 3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6A444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Año 4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C9905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Año 5</w:t>
            </w:r>
          </w:p>
        </w:tc>
      </w:tr>
      <w:tr w:rsidR="006B11F1" w:rsidRPr="009C7BEF" w14:paraId="3088656C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E7907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Ingresos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9E3F3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—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EBB881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3.219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122E6A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11.028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8B7498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26.942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04CE1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44.554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647279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79.572</w:t>
            </w:r>
          </w:p>
        </w:tc>
      </w:tr>
      <w:tr w:rsidR="006B11F1" w:rsidRPr="009C7BEF" w14:paraId="2E73441A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A7B56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Costos recurrentes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E80497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—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050792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(4.110)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00497A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(4.110)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0F9435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(4.110)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B56249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(4.110)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886AB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(4.110)</w:t>
            </w:r>
          </w:p>
        </w:tc>
      </w:tr>
      <w:tr w:rsidR="006B11F1" w:rsidRPr="009C7BEF" w14:paraId="473CDA02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086DD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Flujo del período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69B2A2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(5.145)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F6C42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(891)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D0A539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6.918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5F625C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22.832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4D376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40.444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53CF19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75.462</w:t>
            </w:r>
          </w:p>
        </w:tc>
      </w:tr>
      <w:tr w:rsidR="006B11F1" w:rsidRPr="009C7BEF" w14:paraId="649AE5D6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84561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Flujo acumulado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E7A89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(5.145)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3C7D5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(6.036)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A0E7BE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882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E730E7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23.714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4BCF5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64.158</w:t>
            </w:r>
          </w:p>
        </w:tc>
        <w:tc>
          <w:tcPr>
            <w:tcW w:w="1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5DB94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139.620</w:t>
            </w:r>
          </w:p>
        </w:tc>
      </w:tr>
    </w:tbl>
    <w:p w14:paraId="2570304A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Resultados: VAN de $74.965.369 con la tasa de descuento supuesta de 15%; con 10% el VAN sube a $91.395.941 y con 20% baja a $61.960.152. La TIR del flujo es de 133% anual y la inversión se recupera en el Año 2. Estas cifras son un techo referencial: la proyección no incluye captación de clientes ni costos variables por transacción, ambos pendientes de cotización, y el Año 1 cierra con un flujo negativo de $890.700.</w:t>
      </w:r>
    </w:p>
    <w:p w14:paraId="5BF94FC9" w14:textId="77777777" w:rsidR="006B11F1" w:rsidRPr="009C7BEF" w:rsidRDefault="00000000">
      <w:pPr>
        <w:keepNext/>
        <w:spacing w:before="160" w:after="8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lastRenderedPageBreak/>
        <w:t>Análisis del fee de referencia del 5% (Año 1):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2100"/>
        <w:gridCol w:w="3760"/>
      </w:tblGrid>
      <w:tr w:rsidR="006B11F1" w:rsidRPr="009C7BEF" w14:paraId="7E789356" w14:textId="77777777">
        <w:trPr>
          <w:cantSplit/>
          <w:tblHeader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76C81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Indicador del Año 1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E797D7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B8D96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6B11F1" w:rsidRPr="009C7BEF" w14:paraId="26606C6E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B94B7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Ingreso por fee de intermediación (5%)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92075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$432.000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30D4C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Cubre el 10,5% de los costos recurrentes</w:t>
            </w:r>
          </w:p>
        </w:tc>
      </w:tr>
      <w:tr w:rsidR="006B11F1" w:rsidRPr="009C7BEF" w14:paraId="08E3EB2E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2C750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Costos recurrentes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927FC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$4.110.000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3E021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Infraestructura productiva y operación</w:t>
            </w:r>
          </w:p>
        </w:tc>
      </w:tr>
      <w:tr w:rsidR="006B11F1" w:rsidRPr="009C7BEF" w14:paraId="6BC1C372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C1F2B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GMV anual necesario para cubrir los costos solo con el fee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8845D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$82.200.000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ED402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Equivale a unos 571 pedidos al mes con el ticket supuesto</w:t>
            </w:r>
          </w:p>
        </w:tc>
      </w:tr>
      <w:tr w:rsidR="006B11F1" w:rsidRPr="009C7BEF" w14:paraId="6E159453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73D29F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Fee equivalente si el único ingreso fuera el fee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63C7F3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47,6% de la venta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FA72DE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Muy por sobre el 5% vigente</w:t>
            </w:r>
          </w:p>
        </w:tc>
      </w:tr>
      <w:tr w:rsidR="006B11F1" w:rsidRPr="009C7BEF" w14:paraId="4737F40D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E820A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Ingreso por la tarifa fija de $3.500 por pedido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395AB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$2.520.000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5B0E1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Es la mayor fuente de ingreso del modelo</w:t>
            </w:r>
          </w:p>
        </w:tc>
      </w:tr>
    </w:tbl>
    <w:p w14:paraId="489A7655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Conclusión: el fee del 5% no alcanza por sí solo para sostener la operación, porque cubre una fracción menor de los costos recurrentes y el modelo depende de la tarifa fija por pedido. Recomendación sujeta a decisión del equipo: mantener el 5% durante el MVP y, antes de pasar a producción, evaluar un fee entre 7% y 8% del GMV, que elevaría el ingreso por comisión entre 40% y 60% respecto del 5% actual, o bien un ajuste de la tarifa fija por pedido. Cualquier cambio exige cotizar antes la comisión de Transbank y el costo real de operación.</w:t>
      </w:r>
    </w:p>
    <w:p w14:paraId="68BA6C06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9.6 Trámites de constitución, SII, patente municipal y resolución sanitaria</w:t>
      </w:r>
    </w:p>
    <w:p w14:paraId="52CF1784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Registramos cada trámite una sola vez, con su naturaleza y su estado. Ninguno tiene monto cotizado: se registran en $0 en la planilla y se incorporarán al desembolso cuando exista una cotización o un pronunciamiento oficial.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1800"/>
        <w:gridCol w:w="1100"/>
        <w:gridCol w:w="2960"/>
      </w:tblGrid>
      <w:tr w:rsidR="006B11F1" w:rsidRPr="009C7BEF" w14:paraId="630EDC4C" w14:textId="77777777">
        <w:trPr>
          <w:cantSplit/>
          <w:tblHeader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C60E0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14EBA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Naturaleza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A20A1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Costo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6AD23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6B11F1" w:rsidRPr="009C7BEF" w14:paraId="3BF9B862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262D7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Constitución de la empresa (EIRL o SpA) y firma ante notario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AC2B7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Trámite legal y notarial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0C5543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$0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2FCDDE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cotización</w:t>
            </w:r>
          </w:p>
        </w:tc>
      </w:tr>
      <w:tr w:rsidR="006B11F1" w:rsidRPr="009C7BEF" w14:paraId="09FFBBA9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234F4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Inscripción en el Registro de Empresas y Sociedades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A65D0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Trámite legal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4B620E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$0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FD99BD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confirmación: supuesto a validar que la inscripción en línea no tiene costo directo</w:t>
            </w:r>
          </w:p>
        </w:tc>
      </w:tr>
      <w:tr w:rsidR="006B11F1" w:rsidRPr="009C7BEF" w14:paraId="6713B5CD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CEE74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Inicio de actividades ante el SII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8AB6E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Trámite tributario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979349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$0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FA296B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confirmación: se realiza en línea; si se exige firma electrónica avanzada, debe cotizarse aparte</w:t>
            </w:r>
          </w:p>
        </w:tc>
      </w:tr>
      <w:tr w:rsidR="006B11F1" w:rsidRPr="009C7BEF" w14:paraId="0A20BD83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3261B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Patente municipal (permiso de funcionamiento)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DADCE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Trámite municipal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5971D8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$0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7142E8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cotización: depende de la comuna y del capital declarado</w:t>
            </w:r>
          </w:p>
        </w:tc>
      </w:tr>
      <w:tr w:rsidR="006B11F1" w:rsidRPr="009C7BEF" w14:paraId="1DE7A6C2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130E8D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Habilitación de facturación y boleta electrónica del SII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220765" w14:textId="77777777" w:rsidR="006B11F1" w:rsidRPr="009C7BEF" w:rsidRDefault="006B11F1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</w:rPr>
              <w:t>Trámite tributario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82952B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$0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A1668A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Pendiente de confirmación: supuesto a validar que el sistema del SII no tiene costo y no duplica el inicio de actividades</w:t>
            </w:r>
          </w:p>
        </w:tc>
      </w:tr>
      <w:tr w:rsidR="006B11F1" w:rsidRPr="009C7BEF" w14:paraId="273E0AF0" w14:textId="77777777"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F5263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Resolución sanitaria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C8A9C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Trámite sanitario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2548C5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$0</w:t>
            </w:r>
          </w:p>
        </w:tc>
        <w:tc>
          <w:tcPr>
            <w:tcW w:w="2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65B0D8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confirmación: aplicabilidad por validar con la SEREMI de Salud</w:t>
            </w:r>
          </w:p>
        </w:tc>
      </w:tr>
    </w:tbl>
    <w:p w14:paraId="12366312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 xml:space="preserve">Sobre la resolución sanitaria no afirmamos que sea exigible ni que deje de serlo: su aplicabilidad depende del tipo de producto, del lugar de acopio y del transporte, y debe validarse con la autoridad sanitaria y con los requisitos aplicables. Como alternativa de alcance del MVP evaluamos limitar la oferta a productos sin procesar (frutas, verduras y huevos sin procesar, sin elaboración ni envasado propio). Esa decisión reduce la exposición a exigencias sanitarias de elaboración y etiquetado y mantiene el costo en $0, pero no elimina la </w:t>
      </w:r>
      <w:r w:rsidRPr="009C7BEF">
        <w:rPr>
          <w:rFonts w:ascii="Calibri" w:hAnsi="Calibri" w:cs="Calibri"/>
        </w:rPr>
        <w:lastRenderedPageBreak/>
        <w:t>necesidad de validar la condición sanitaria del acopio y del transporte. La alternativa con productos procesados o envasados (no adoptada) aumentaría la exposición a exigencias del elaborador o de la bodega y a requisitos de etiquetado, con inversión y plazos adicionales hoy no presupuestados. Recomendación sujeta a decisión formal: adoptar la oferta de productos sin procesar durante el MVP.</w:t>
      </w:r>
    </w:p>
    <w:p w14:paraId="4B8360C3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9.7 Delivery: alternativas evaluadas</w:t>
      </w:r>
    </w:p>
    <w:p w14:paraId="0A23EDAA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El MVP opera con el despacho a cargo del propio productor. Comparamos esa línea base con la externalización del reparto y con la operación de flota y repartidores propios, y registramos el efecto de cada alternativa en los costos, los ingresos y los riesgos.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500"/>
        <w:gridCol w:w="1100"/>
        <w:gridCol w:w="2160"/>
      </w:tblGrid>
      <w:tr w:rsidR="006B11F1" w:rsidRPr="009C7BEF" w14:paraId="545EC54E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61378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Alternativa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9CD6D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Efecto en costos, ingresos y riesgos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E9EB69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Costo para CuTuCo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F9131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6B11F1" w:rsidRPr="009C7BEF" w14:paraId="1F17B5D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C41AA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1. Despacho a cargo del productor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3F3FE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Sin flota ni repartidores propios. La tarifa fija de $3.500 por pedido se descuenta en el Split Payment (RF-014). Riesgo: la entrega depende de la capacidad de cada productor y CuTuCo no tiene respaldo logístico propio.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8436F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$0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3DBA1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Adoptada para el MVP</w:t>
            </w:r>
          </w:p>
        </w:tc>
      </w:tr>
      <w:tr w:rsidR="006B11F1" w:rsidRPr="009C7BEF" w14:paraId="7B3B8E1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A8555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2. Reparto externalizado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DDFE8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Costo variable por entrega y sin inversión en flota. Exige definir si la tarifa fija de $3.500 cubre la entrega. Riesgo: dependencia de terceros, cobertura limitada y variación de tarifas.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67B90C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cotización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6E4AE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No contratada</w:t>
            </w:r>
          </w:p>
        </w:tc>
      </w:tr>
      <w:tr w:rsidR="006B11F1" w:rsidRPr="009C7BEF" w14:paraId="5C4729F9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C758A8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3. Flota y repartidores propios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A0FD6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Inversión inicial y costo fijo mensual (vehículos, combustible, seguros y remuneraciones). Permitiría cobrar el servicio de entrega. Riesgo: inversión alta y baja utilización al inicio.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25054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cotización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48072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No contratada</w:t>
            </w:r>
          </w:p>
        </w:tc>
      </w:tr>
    </w:tbl>
    <w:p w14:paraId="31222853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Criterio de decisión: se adopta la alternativa 1 porque es la línea base definida en el ERS, no exige inversión ni contratación de terceros y su costo para CuTuCo es $0. Las alternativas 2 y 3 solo se reevaluarán si el volumen real de pedidos lo justifica y si existe cotización y presupuesto aprobado.</w:t>
      </w:r>
    </w:p>
    <w:p w14:paraId="0671BD17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9.8 Condiciones tributarias, comerciales, sanitarias y operativas a validar</w:t>
      </w:r>
    </w:p>
    <w:p w14:paraId="546FD307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Identificamos las obligaciones que podrían afectar al proyecto. Las registramos como condiciones por validar y no como requisitos legales verificados.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4800"/>
        <w:gridCol w:w="2260"/>
      </w:tblGrid>
      <w:tr w:rsidR="006B11F1" w:rsidRPr="009C7BEF" w14:paraId="3C22FA42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FF8BC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lastRenderedPageBreak/>
              <w:t>Tema</w:t>
            </w:r>
          </w:p>
        </w:tc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A35CF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Qué se debe validar y efecto en el presupuesto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33391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6B11F1" w:rsidRPr="009C7BEF" w14:paraId="663ED50F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E77EF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IVA y boleta electrónica</w:t>
            </w:r>
          </w:p>
        </w:tc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FE53B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El ERS define boleta a consumidor final con RUT genérico 66.666.666-6 y factura cuando el comprador es una empresa (B2B). Falta confirmar el tratamiento del IVA sobre la comisión y sobre la tarifa fija por pedido, y si los montos del fee se expresan con o sin IVA. Efecto en el presupuesto: por definir con un contador.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DDB39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</w:t>
            </w:r>
          </w:p>
        </w:tc>
      </w:tr>
      <w:tr w:rsidR="006B11F1" w:rsidRPr="009C7BEF" w14:paraId="3F097CDA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80854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Patente municipal</w:t>
            </w:r>
          </w:p>
        </w:tc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86C78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Aplicabilidad, comuna y base de cálculo del permiso de funcionamiento. Efecto: costo periódico no incluido en el total hasta contar con cotización (sección 9.6).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A200E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cotización</w:t>
            </w:r>
          </w:p>
        </w:tc>
      </w:tr>
      <w:tr w:rsidR="006B11F1" w:rsidRPr="009C7BEF" w14:paraId="1A4CA072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07965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Resolución sanitaria</w:t>
            </w:r>
          </w:p>
        </w:tc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1FFA3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Aplicabilidad según el tipo de producto, el lugar de acopio y el transporte. Efecto: podría exigir habilitación de bodega o de sala de proceso, hoy no presupuestada (sección 9.6).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CF3C6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</w:t>
            </w:r>
          </w:p>
        </w:tc>
      </w:tr>
      <w:tr w:rsidR="006B11F1" w:rsidRPr="009C7BEF" w14:paraId="3890A764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B40045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Etiquetado de productos</w:t>
            </w:r>
          </w:p>
        </w:tc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7B1C26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Información obligatoria del producto cuando corresponda (origen, peso, fecha y responsable). Efecto: diseño e impresión de etiquetas, hoy no presupuestados.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9F3C9C7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</w:t>
            </w:r>
          </w:p>
        </w:tc>
      </w:tr>
      <w:tr w:rsidR="006B11F1" w:rsidRPr="009C7BEF" w14:paraId="0D4C3B7D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7287D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Transporte de alimentos</w:t>
            </w:r>
          </w:p>
        </w:tc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1F4C8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Condiciones del traslado (temperatura, envases y limpieza) cuando el despacho lo realiza el productor. Efecto: podría exigir envases o cajas adicionales.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A886E7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</w:t>
            </w:r>
          </w:p>
        </w:tc>
      </w:tr>
      <w:tr w:rsidR="006B11F1" w:rsidRPr="009C7BEF" w14:paraId="6A242916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92EFA5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Comisión de Transbank por transacción</w:t>
            </w:r>
          </w:p>
        </w:tc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00607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Monto de la comisión y quién la asume en el contrato de Webpay Mall. Efecto: si la asume CuTuCo, se descuenta del ingreso por fee y cambia el punto de equilibrio.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826332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</w:t>
            </w:r>
          </w:p>
        </w:tc>
      </w:tr>
      <w:tr w:rsidR="006B11F1" w:rsidRPr="009C7BEF" w14:paraId="427884F4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492C7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Registro del Código de Comercio Mall</w:t>
            </w:r>
          </w:p>
        </w:tc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3C04F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Es un trámite posterior e independiente de la aprobación de la postulación. Mientras un productor no lo tenga, no puede operar ni recibir pagos y sus productos no se muestran en el catálogo.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98080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confirmación</w:t>
            </w:r>
          </w:p>
        </w:tc>
      </w:tr>
      <w:tr w:rsidR="006B11F1" w:rsidRPr="009C7BEF" w14:paraId="50D2155E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91561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Datos bancarios y documentos de postulación</w:t>
            </w:r>
          </w:p>
        </w:tc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A074D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Se protegen con RLS, policies, grants y permisos de almacenamiento de Supabase Storage. Efecto: sin costo adicional durante el MVP.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AF36B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Confirmado</w:t>
            </w:r>
          </w:p>
        </w:tc>
      </w:tr>
      <w:tr w:rsidR="006B11F1" w:rsidRPr="009C7BEF" w14:paraId="564A127A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8A94A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Suscripción mensual por productor</w:t>
            </w:r>
          </w:p>
        </w:tc>
        <w:tc>
          <w:tcPr>
            <w:tcW w:w="4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75E53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Precio y adopción del modelo proyectado. Efecto en los ingresos: se modela desde el Año 1 como negocio proyectado y no se factura en el MVP.</w:t>
            </w:r>
          </w:p>
        </w:tc>
        <w:tc>
          <w:tcPr>
            <w:tcW w:w="22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E8712A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Fuera del MVP</w:t>
            </w:r>
          </w:p>
        </w:tc>
      </w:tr>
    </w:tbl>
    <w:p w14:paraId="72B3B154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9.9 Estados del presupuesto y leyenda</w:t>
      </w:r>
    </w:p>
    <w:p w14:paraId="72A6C9A4" w14:textId="77777777" w:rsidR="006B11F1" w:rsidRPr="009C7BEF" w:rsidRDefault="00000000">
      <w:pPr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Cada monto de la planilla y de este plan indica su estado, para no mezclar cifras verificadas con supuestos. La leyenda también aparece al final de cada hoja de la planilla.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B11F1" w:rsidRPr="009C7BEF" w14:paraId="388BB165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92889A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lastRenderedPageBreak/>
              <w:t>Estado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8F1E57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6B11F1" w:rsidRPr="009C7BEF" w14:paraId="648EA9BD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21359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Confirmado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121A7B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Monto o condición verificada en la documentación del proyecto o del proveedor. Incluye los niveles gratuitos, que hoy no generan desembolso.</w:t>
            </w:r>
          </w:p>
        </w:tc>
      </w:tr>
      <w:tr w:rsidR="006B11F1" w:rsidRPr="009C7BEF" w14:paraId="705B62CC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129552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Estimado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F74693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Referencia del equipo para el mercado chileno, sin cotización formal. Puede cambiar al momento de contratar.</w:t>
            </w:r>
          </w:p>
        </w:tc>
      </w:tr>
      <w:tr w:rsidR="006B11F1" w:rsidRPr="009C7BEF" w14:paraId="72C8DCAD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EA0D7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Valorizado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128018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Costo de referencia del trabajo del equipo a precio de mercado. No genera desembolso.</w:t>
            </w:r>
          </w:p>
        </w:tc>
      </w:tr>
      <w:tr w:rsidR="006B11F1" w:rsidRPr="009C7BEF" w14:paraId="6E70F4ED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C6CF6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 de cotización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0ECA3A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No hay monto sustentable: se registra en $0 y se incorporará al total cuando exista una cotización o un valor oficial.</w:t>
            </w:r>
          </w:p>
        </w:tc>
      </w:tr>
      <w:tr w:rsidR="006B11F1" w:rsidRPr="009C7BEF" w14:paraId="486B49CB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10A7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Pendiente de confirmación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ABD731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Falta validar la exigibilidad, la aplicabilidad o la cifra antes de comprometer un gasto.</w:t>
            </w:r>
          </w:p>
        </w:tc>
      </w:tr>
      <w:tr w:rsidR="006B11F1" w:rsidRPr="009C7BEF" w14:paraId="71FDF318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AC62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Fuera del MVP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9115CB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Concepto identificado y modelado como negocio proyectado, pero no activo en esta versión.</w:t>
            </w:r>
          </w:p>
        </w:tc>
      </w:tr>
    </w:tbl>
    <w:p w14:paraId="3663E4B8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t>10. Seguimiento y control de costos</w:t>
      </w:r>
    </w:p>
    <w:p w14:paraId="314A2A35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10.1 Indicadores y umbrales</w:t>
      </w:r>
    </w:p>
    <w:p w14:paraId="0541F20C" w14:textId="77777777" w:rsidR="006B11F1" w:rsidRPr="009C7BEF" w:rsidRDefault="00000000">
      <w:pPr>
        <w:keepNext/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Cada semana, en la reunión de seguimiento, comparamos lo real con lo planificado y lo registramos en la minuta y en la planilla de Excel.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5760"/>
        <w:gridCol w:w="1300"/>
      </w:tblGrid>
      <w:tr w:rsidR="006B11F1" w:rsidRPr="009C7BEF" w14:paraId="14B5F329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EF721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F83A2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DD23D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Frecuencia</w:t>
            </w:r>
          </w:p>
        </w:tc>
      </w:tr>
      <w:tr w:rsidR="006B11F1" w:rsidRPr="009C7BEF" w14:paraId="189A0AE0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3E3AD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Desviación del gasto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6541B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(gasto real acumulado − gasto planificado acumulado) ÷ gasto planificado acumulado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971F5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Semanal</w:t>
            </w:r>
          </w:p>
        </w:tc>
      </w:tr>
      <w:tr w:rsidR="006B11F1" w:rsidRPr="009C7BEF" w14:paraId="6BAFF7FA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9FE4AD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Desviación de horas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14AE9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(horas reales − horas planificadas) ÷ horas planificadas, por integrante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7BC13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Semanal</w:t>
            </w:r>
          </w:p>
        </w:tc>
      </w:tr>
      <w:tr w:rsidR="006B11F1" w:rsidRPr="009C7BEF" w14:paraId="7A11A04C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C916F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Consumo de créditos GCP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8330B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Gasto en el billing de GCP frente a los USD 300 disponibles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EFAEC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Semanal</w:t>
            </w:r>
          </w:p>
        </w:tc>
      </w:tr>
      <w:tr w:rsidR="006B11F1" w:rsidRPr="009C7BEF" w14:paraId="4EEFC8F7" w14:textId="77777777">
        <w:trPr>
          <w:cantSplit/>
        </w:trPr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3F7BCC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Uso de la contingencia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7D0212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Gasto adicional ÷ reserva en efectivo de $30.806 (10% del desembolso)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C558E3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Semanal</w:t>
            </w:r>
          </w:p>
        </w:tc>
      </w:tr>
    </w:tbl>
    <w:p w14:paraId="5FFD9707" w14:textId="77777777" w:rsidR="006B11F1" w:rsidRPr="009C7BEF" w:rsidRDefault="00000000">
      <w:pPr>
        <w:keepNext/>
        <w:spacing w:before="140" w:after="8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</w:rPr>
        <w:t>Semáforo de control: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300"/>
        <w:gridCol w:w="5760"/>
      </w:tblGrid>
      <w:tr w:rsidR="006B11F1" w:rsidRPr="009C7BEF" w14:paraId="32B01DDF" w14:textId="77777777">
        <w:trPr>
          <w:cantSplit/>
          <w:tblHeader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97C595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83970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Desviación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45E6B2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Acción</w:t>
            </w:r>
          </w:p>
        </w:tc>
      </w:tr>
      <w:tr w:rsidR="006B11F1" w:rsidRPr="009C7BEF" w14:paraId="7F7E1C23" w14:textId="77777777">
        <w:trPr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76BA5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Verde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D8977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Hasta 5%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38937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Seguimos según lo planificado.</w:t>
            </w:r>
          </w:p>
        </w:tc>
      </w:tr>
      <w:tr w:rsidR="006B11F1" w:rsidRPr="009C7BEF" w14:paraId="7390202B" w14:textId="77777777">
        <w:trPr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0A57B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Amarillo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D4AC3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Más de 5% y hasta 10%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DFFA3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Registramos la causa en la minuta y ajustamos el trabajo o el gasto de las semanas siguientes.</w:t>
            </w:r>
          </w:p>
        </w:tc>
      </w:tr>
      <w:tr w:rsidR="006B11F1" w:rsidRPr="009C7BEF" w14:paraId="09B42B66" w14:textId="77777777">
        <w:trPr>
          <w:cantSplit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2F174A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Rojo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9D73E2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Más de 10%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7384A3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Detenemos todo gasto nuevo, decidimos entre ambos cómo corregir y escalamos al responsable académico si afecta el alcance.</w:t>
            </w:r>
          </w:p>
        </w:tc>
      </w:tr>
    </w:tbl>
    <w:p w14:paraId="5FF194C9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lastRenderedPageBreak/>
        <w:t>10.2 Tabla de seguimiento</w:t>
      </w:r>
    </w:p>
    <w:p w14:paraId="51E5CDB7" w14:textId="77777777" w:rsidR="006B11F1" w:rsidRPr="009C7BEF" w:rsidRDefault="00000000">
      <w:pPr>
        <w:keepNext/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 xml:space="preserve">El plan reparte las 520 horas a razón de 40 horas por semana (20 por integrante). El gasto planificado distribuye el dominio en la Semana 1, la impresión en las Semanas 12 y 13, y el resto en partes iguales. </w:t>
      </w:r>
      <w:r w:rsidRPr="009C7BEF">
        <w:rPr>
          <w:rFonts w:ascii="Calibri" w:hAnsi="Calibri" w:cs="Calibri"/>
          <w:b/>
          <w:bCs/>
        </w:rPr>
        <w:t>Corte de la tabla: 05/10/2026 (Semana 4).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60"/>
        <w:gridCol w:w="850"/>
        <w:gridCol w:w="900"/>
        <w:gridCol w:w="1250"/>
        <w:gridCol w:w="1250"/>
        <w:gridCol w:w="900"/>
        <w:gridCol w:w="1550"/>
      </w:tblGrid>
      <w:tr w:rsidR="006B11F1" w:rsidRPr="009C7BEF" w14:paraId="0DCEA930" w14:textId="77777777">
        <w:trPr>
          <w:cantSplit/>
          <w:tblHeader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11D87E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Bloque de semanas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AB5301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Horas plan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A9C49A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Horas reales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C30C12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Gasto plan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B2FE69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Gasto real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D6BCE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Desv. %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1939E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6B11F1" w:rsidRPr="009C7BEF" w14:paraId="37E02961" w14:textId="77777777"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3D433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S1 – Planificación inicial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49933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A08755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40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749B1F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$31.913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6FECE5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$31.913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DFF81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0%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3E5217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Completado</w:t>
            </w:r>
          </w:p>
        </w:tc>
      </w:tr>
      <w:tr w:rsidR="006B11F1" w:rsidRPr="009C7BEF" w14:paraId="18AB3A69" w14:textId="77777777"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A02CC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S2 y S3 – Análisis y diseño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E3A802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80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B1586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80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983A43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$41.025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FD895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$41.025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24A777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0%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396A2E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Completado</w:t>
            </w:r>
          </w:p>
        </w:tc>
      </w:tr>
      <w:tr w:rsidR="006B11F1" w:rsidRPr="009C7BEF" w14:paraId="6EDEFC95" w14:textId="77777777"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EC7D7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S4 – Análisis y diseño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97698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B8F5C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16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BAA06D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$20.513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A93F1A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$8.205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E6A98E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0%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036FA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En curso (40%)</w:t>
            </w:r>
          </w:p>
        </w:tc>
      </w:tr>
      <w:tr w:rsidR="006B11F1" w:rsidRPr="009C7BEF" w14:paraId="238EE270" w14:textId="77777777"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8CD2B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S5 a S8 – Construcción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7BC629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160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6E087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474A1E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$82.050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F34408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385A64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497EB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</w:t>
            </w:r>
          </w:p>
        </w:tc>
      </w:tr>
      <w:tr w:rsidR="006B11F1" w:rsidRPr="009C7BEF" w14:paraId="0114AAC1" w14:textId="77777777"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919FC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S9 y S10 – Integración y validación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AA8A6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80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8B67D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1C1460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$41.025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467C37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1845E9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3EE64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</w:t>
            </w:r>
          </w:p>
        </w:tc>
      </w:tr>
      <w:tr w:rsidR="006B11F1" w:rsidRPr="009C7BEF" w14:paraId="7E6CE688" w14:textId="77777777"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E75EB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S11 – Cierre de desarrollo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2A7472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40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C1FB17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CA6FFD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$20.513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374222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F0EAB2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68680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</w:t>
            </w:r>
          </w:p>
        </w:tc>
      </w:tr>
      <w:tr w:rsidR="006B11F1" w:rsidRPr="009C7BEF" w14:paraId="44080A04" w14:textId="77777777"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D4DC8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S12 y S13 – Preparación y entrega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1C065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80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2B603D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17E5F1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$71.025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DD2A0B" w14:textId="77777777" w:rsidR="006B11F1" w:rsidRPr="009C7BEF" w:rsidRDefault="00000000">
            <w:pPr>
              <w:keepNext/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A2932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–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F430FC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Pendiente</w:t>
            </w:r>
          </w:p>
        </w:tc>
      </w:tr>
      <w:tr w:rsidR="006B11F1" w:rsidRPr="009C7BEF" w14:paraId="5E7D52C8" w14:textId="77777777">
        <w:trPr>
          <w:cantSplit/>
        </w:trPr>
        <w:tc>
          <w:tcPr>
            <w:tcW w:w="2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750676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B858986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520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CF9BD6A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136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E435EA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$308.064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F54ADE" w14:textId="77777777" w:rsidR="006B11F1" w:rsidRPr="009C7BEF" w:rsidRDefault="00000000">
            <w:pPr>
              <w:spacing w:line="252" w:lineRule="auto"/>
              <w:jc w:val="right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$81.143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45FFF7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0%</w:t>
            </w:r>
          </w:p>
        </w:tc>
        <w:tc>
          <w:tcPr>
            <w:tcW w:w="1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5796DFD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Verde</w:t>
            </w:r>
          </w:p>
        </w:tc>
      </w:tr>
    </w:tbl>
    <w:p w14:paraId="08DDB4A0" w14:textId="77777777" w:rsidR="006B11F1" w:rsidRPr="009C7BEF" w:rsidRDefault="00000000">
      <w:pPr>
        <w:spacing w:before="120"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  <w:b/>
          <w:bCs/>
          <w:sz w:val="19"/>
          <w:szCs w:val="19"/>
        </w:rPr>
        <w:t>Notas del corte:</w:t>
      </w:r>
      <w:r w:rsidRPr="009C7BEF">
        <w:rPr>
          <w:rFonts w:ascii="Calibri" w:hAnsi="Calibri" w:cs="Calibri"/>
          <w:sz w:val="19"/>
          <w:szCs w:val="19"/>
        </w:rPr>
        <w:t xml:space="preserve"> las horas y el gasto reales son estimados y siguen lo planificado, sin gastos adicionales ni desviaciones. En la Semana 4 (en curso) se consideran 16 de las 40 horas del bloque y el 40% de su gasto semanal. La desviación se calcula contra el plan acumulado a la fecha ($81.143 y 136 horas), por lo que el estado del proyecto es </w:t>
      </w:r>
      <w:r w:rsidRPr="009C7BEF">
        <w:rPr>
          <w:rFonts w:ascii="Calibri" w:hAnsi="Calibri" w:cs="Calibri"/>
          <w:b/>
          <w:bCs/>
          <w:sz w:val="19"/>
          <w:szCs w:val="19"/>
        </w:rPr>
        <w:t>Verde</w:t>
      </w:r>
      <w:r w:rsidRPr="009C7BEF">
        <w:rPr>
          <w:rFonts w:ascii="Calibri" w:hAnsi="Calibri" w:cs="Calibri"/>
          <w:sz w:val="19"/>
          <w:szCs w:val="19"/>
        </w:rPr>
        <w:t xml:space="preserve"> (desviación de 0%, dentro del límite de 5%).</w:t>
      </w:r>
    </w:p>
    <w:p w14:paraId="3C671C2B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10.3 Control de créditos de GCP</w:t>
      </w:r>
    </w:p>
    <w:p w14:paraId="5AB06062" w14:textId="77777777" w:rsidR="006B11F1" w:rsidRPr="009C7BEF" w:rsidRDefault="00000000">
      <w:pPr>
        <w:keepNext/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Cloud Run funciona con USD 300 de crédito vigentes hasta el 29/11/2026, antes de la entrega final del 10/12. Para evitar cobros inesperados:</w:t>
      </w:r>
    </w:p>
    <w:p w14:paraId="3B6E635F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Mantenemos la configuración mínima definida en la arquitectura (512 MiB, mínimo 0 y máximo 5 instancias).</w:t>
      </w:r>
    </w:p>
    <w:p w14:paraId="14E71033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Revisamos el billing de GCP cada semana y configuramos alertas de presupuesto al 50% (USD 150) y al 80% (USD 240) del crédito.</w:t>
      </w:r>
    </w:p>
    <w:p w14:paraId="7F654273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Antes de que venza el crédito, migramos el backend a otra cuenta de GCP, como ya está previsto en la arquitectura.</w:t>
      </w:r>
    </w:p>
    <w:p w14:paraId="6AB33261" w14:textId="77777777" w:rsidR="006B11F1" w:rsidRPr="009C7BEF" w:rsidRDefault="00000000">
      <w:pPr>
        <w:pStyle w:val="Ttulo2"/>
        <w:keepNext/>
        <w:rPr>
          <w:rFonts w:ascii="Calibri" w:hAnsi="Calibri" w:cs="Calibri"/>
        </w:rPr>
      </w:pPr>
      <w:r w:rsidRPr="009C7BEF">
        <w:rPr>
          <w:rFonts w:ascii="Calibri" w:hAnsi="Calibri" w:cs="Calibri"/>
        </w:rPr>
        <w:t>10.4 Control de cambios de costo</w:t>
      </w:r>
    </w:p>
    <w:p w14:paraId="77A0B623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Todo servicio o gasto nuevo se revisa entre ambos integrantes antes de contratarlo.</w:t>
      </w:r>
    </w:p>
    <w:p w14:paraId="6B784311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Si el cambio supera la reserva de contingencia, se registra como decisión formal en la minuta y se actualiza el Excel y este plan.</w:t>
      </w:r>
    </w:p>
    <w:p w14:paraId="7FB1C1CF" w14:textId="77777777" w:rsidR="006B11F1" w:rsidRPr="009C7BEF" w:rsidRDefault="00000000">
      <w:pPr>
        <w:pStyle w:val="Prrafodelista"/>
        <w:numPr>
          <w:ilvl w:val="0"/>
          <w:numId w:val="2"/>
        </w:numPr>
        <w:spacing w:after="6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No se contrata infraestructura de la Opción B ni planes pagados sin una decisión formal y sin presupuesto aprobado.</w:t>
      </w:r>
    </w:p>
    <w:p w14:paraId="61650BEC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lastRenderedPageBreak/>
        <w:t>11. Riesgos de calidad y de costos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960"/>
      </w:tblGrid>
      <w:tr w:rsidR="006B11F1" w:rsidRPr="009C7BEF" w14:paraId="3BF2831C" w14:textId="77777777">
        <w:trPr>
          <w:cantSplit/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8741F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FA636A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Efecto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C4CCD2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Medida de control</w:t>
            </w:r>
          </w:p>
        </w:tc>
      </w:tr>
      <w:tr w:rsidR="006B11F1" w:rsidRPr="009C7BEF" w14:paraId="4B675E29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19C9586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Inconsistencias en el pago con Webpay (retornos o transacciones repetidas)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21130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Cobros o pedidos duplicados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E44CE9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buy_order y token_ws únicos, registro de estados y pruebas de idempotencia (CP-09, NF-02)</w:t>
            </w:r>
          </w:p>
        </w:tc>
      </w:tr>
      <w:tr w:rsidR="006B11F1" w:rsidRPr="009C7BEF" w14:paraId="6791E37E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942AB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Errores al migrar de SQLite a PostgreSQL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38079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Datos o relaciones incorrectas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8947BE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Revisión del modelo, scripts DDL y validación con datos de prueba</w:t>
            </w:r>
          </w:p>
        </w:tc>
      </w:tr>
      <w:tr w:rsidR="006B11F1" w:rsidRPr="009C7BEF" w14:paraId="6DC43B1B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D13DB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Falla de Supabase, Vercel, GCP, Resend o Transbank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390693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Pruebas detenidas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BDE341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Mocks o stubs y validación real posterior</w:t>
            </w:r>
          </w:p>
        </w:tc>
      </w:tr>
      <w:tr w:rsidR="006B11F1" w:rsidRPr="009C7BEF" w14:paraId="67BCE96A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C1C7CD0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Fin anticipado de los créditos de GCP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CF0BC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Cobro no previsto o backend caído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DC267A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Revisión semanal del billing, alertas al 50% y 80% y migración de cuenta</w:t>
            </w:r>
          </w:p>
        </w:tc>
      </w:tr>
      <w:tr w:rsidR="006B11F1" w:rsidRPr="009C7BEF" w14:paraId="7349281C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53723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Alcance excesivo para dos personas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127E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Retrasos y sobrecosto de horas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74C227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Revisión semanal del alcance y control de cambios formal</w:t>
            </w:r>
          </w:p>
        </w:tc>
      </w:tr>
      <w:tr w:rsidR="006B11F1" w:rsidRPr="009C7BEF" w14:paraId="64E71EEC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94A11F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Acceso indebido a los datos bancarios o a los documentos de postulación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F61247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Pérdida de confianza y riesgo legal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281CD5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RLS, policies, grants y permisos de almacenamiento en Supabase Storage; revisión de accesos por rol y pruebas NF-04</w:t>
            </w:r>
          </w:p>
        </w:tc>
      </w:tr>
      <w:tr w:rsidR="006B11F1" w:rsidRPr="009C7BEF" w14:paraId="3D7A44B5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19A3434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Traspaso del Código de Comercio Mall con Transbank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D17B04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El productor no puede operar ni recibir pagos, y sus productos no se muestran en el catálogo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693745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El registro del código es un trámite posterior e independiente de la aprobación de la postulación: se hace seguimiento con Transbank y las consultas del frontend excluyen a los productores sin código</w:t>
            </w:r>
          </w:p>
        </w:tc>
      </w:tr>
      <w:tr w:rsidR="006B11F1" w:rsidRPr="009C7BEF" w14:paraId="424B96A6" w14:textId="77777777">
        <w:trPr>
          <w:cantSplit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AAAA4D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Dependencia del productor para la entrega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53F795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Pedidos sin despachar o entregas sin respaldo logístico</w:t>
            </w:r>
          </w:p>
        </w:tc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4DDE08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Estados de delivery con código de verificación (RF-007 y RF-025), registro de cada cambio de estado y evaluación de las alternativas de reparto antes de escalar el volumen</w:t>
            </w:r>
          </w:p>
        </w:tc>
      </w:tr>
    </w:tbl>
    <w:p w14:paraId="68DF2B8E" w14:textId="77777777" w:rsidR="006B11F1" w:rsidRPr="009C7BEF" w:rsidRDefault="00000000">
      <w:pPr>
        <w:pStyle w:val="Ttulo1"/>
        <w:keepNext/>
        <w:pBdr>
          <w:bottom w:val="single" w:sz="6" w:space="2" w:color="F2B705"/>
        </w:pBdr>
        <w:rPr>
          <w:rFonts w:ascii="Calibri" w:hAnsi="Calibri" w:cs="Calibri"/>
        </w:rPr>
      </w:pPr>
      <w:r w:rsidRPr="009C7BEF">
        <w:rPr>
          <w:rFonts w:ascii="Calibri" w:hAnsi="Calibri" w:cs="Calibri"/>
        </w:rPr>
        <w:t>12. Control del documento y aprobación</w:t>
      </w:r>
    </w:p>
    <w:p w14:paraId="5496CAD7" w14:textId="77777777" w:rsidR="006B11F1" w:rsidRPr="009C7BEF" w:rsidRDefault="00000000">
      <w:pPr>
        <w:keepNext/>
        <w:spacing w:after="120" w:line="276" w:lineRule="auto"/>
        <w:rPr>
          <w:rFonts w:ascii="Calibri" w:hAnsi="Calibri" w:cs="Calibri"/>
        </w:rPr>
      </w:pPr>
      <w:r w:rsidRPr="009C7BEF">
        <w:rPr>
          <w:rFonts w:ascii="Calibri" w:hAnsi="Calibri" w:cs="Calibri"/>
        </w:rPr>
        <w:t>Revisaremos este plan cada semana junto con el avance, los defectos y los costos. Cada cambio aprobado actualizará el documento, el Excel y la minuta de control de programación.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400"/>
        <w:gridCol w:w="4560"/>
        <w:gridCol w:w="2400"/>
      </w:tblGrid>
      <w:tr w:rsidR="006B11F1" w:rsidRPr="009C7BEF" w14:paraId="28D879E9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0754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D09A4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BAB1EA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4832F9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Autores</w:t>
            </w:r>
          </w:p>
        </w:tc>
      </w:tr>
      <w:tr w:rsidR="006B11F1" w:rsidRPr="009C7BEF" w14:paraId="2259D9C5" w14:textId="77777777">
        <w:trPr>
          <w:cantSplit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C9B870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1.0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B55D88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05/10/2026</w:t>
            </w:r>
          </w:p>
        </w:tc>
        <w:tc>
          <w:tcPr>
            <w:tcW w:w="4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D1F0C4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Versión inicial del Plan de Calidad y de Costos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0E582F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V. Rivera e I. Fuenzalida</w:t>
            </w:r>
          </w:p>
        </w:tc>
      </w:tr>
    </w:tbl>
    <w:p w14:paraId="6C04141C" w14:textId="77777777" w:rsidR="006B11F1" w:rsidRPr="009C7BEF" w:rsidRDefault="006B11F1">
      <w:pPr>
        <w:keepNext/>
        <w:spacing w:after="100"/>
        <w:rPr>
          <w:rFonts w:ascii="Calibri" w:hAnsi="Calibri" w:cs="Calibr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160"/>
        <w:gridCol w:w="1400"/>
        <w:gridCol w:w="2400"/>
      </w:tblGrid>
      <w:tr w:rsidR="006B11F1" w:rsidRPr="009C7BEF" w14:paraId="07D4EEB5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846331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Nombre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DE33BB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735A2F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57A154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color w:val="FFFFFF"/>
                <w:sz w:val="18"/>
                <w:szCs w:val="18"/>
              </w:rPr>
              <w:t>Firma</w:t>
            </w:r>
          </w:p>
        </w:tc>
      </w:tr>
      <w:tr w:rsidR="006B11F1" w:rsidRPr="009C7BEF" w14:paraId="01D53AA5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D64B68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Vicente Rivera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E178A5B" w14:textId="77777777" w:rsidR="006B11F1" w:rsidRPr="009C7BEF" w:rsidRDefault="00000000">
            <w:pPr>
              <w:keepNext/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Líder backend / Jefe de Proyecto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239A06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05/10/2026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D8D7A3" w14:textId="77777777" w:rsidR="006B11F1" w:rsidRPr="009C7BEF" w:rsidRDefault="00000000">
            <w:pPr>
              <w:keepNext/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21.768.183-9</w:t>
            </w:r>
          </w:p>
        </w:tc>
      </w:tr>
      <w:tr w:rsidR="006B11F1" w:rsidRPr="009C7BEF" w14:paraId="73C1879C" w14:textId="77777777"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3788C8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b/>
                <w:bCs/>
                <w:sz w:val="18"/>
                <w:szCs w:val="18"/>
              </w:rPr>
              <w:t>Ignacio Fuenzalida</w:t>
            </w:r>
          </w:p>
        </w:tc>
        <w:tc>
          <w:tcPr>
            <w:tcW w:w="3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74D62" w14:textId="77777777" w:rsidR="006B11F1" w:rsidRPr="009C7BEF" w:rsidRDefault="00000000">
            <w:pPr>
              <w:spacing w:line="252" w:lineRule="auto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IT frontend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B06239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05/10/2026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7B4F254" w14:textId="77777777" w:rsidR="006B11F1" w:rsidRPr="009C7BEF" w:rsidRDefault="00000000">
            <w:pPr>
              <w:spacing w:line="252" w:lineRule="auto"/>
              <w:jc w:val="center"/>
              <w:rPr>
                <w:rFonts w:ascii="Calibri" w:hAnsi="Calibri" w:cs="Calibri"/>
              </w:rPr>
            </w:pPr>
            <w:r w:rsidRPr="009C7BEF">
              <w:rPr>
                <w:rFonts w:ascii="Calibri" w:hAnsi="Calibri" w:cs="Calibri"/>
                <w:sz w:val="18"/>
                <w:szCs w:val="18"/>
              </w:rPr>
              <w:t>21.401.354-1</w:t>
            </w:r>
          </w:p>
        </w:tc>
      </w:tr>
    </w:tbl>
    <w:p w14:paraId="627C58B1" w14:textId="77777777" w:rsidR="009C6790" w:rsidRPr="009C7BEF" w:rsidRDefault="009C6790">
      <w:pPr>
        <w:rPr>
          <w:rFonts w:ascii="Calibri" w:hAnsi="Calibri" w:cs="Calibri"/>
        </w:rPr>
      </w:pPr>
    </w:p>
    <w:sectPr w:rsidR="009C6790" w:rsidRPr="009C7BEF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300" w:right="1440" w:bottom="120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42AB8" w14:textId="77777777" w:rsidR="004D18E1" w:rsidRDefault="004D18E1">
      <w:r>
        <w:separator/>
      </w:r>
    </w:p>
  </w:endnote>
  <w:endnote w:type="continuationSeparator" w:id="0">
    <w:p w14:paraId="26DEBA69" w14:textId="77777777" w:rsidR="004D18E1" w:rsidRDefault="004D18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16EEE" w14:textId="77777777" w:rsidR="006B11F1" w:rsidRDefault="00000000">
    <w:pPr>
      <w:jc w:val="center"/>
    </w:pPr>
    <w:r>
      <w:rPr>
        <w:color w:val="595959"/>
        <w:sz w:val="16"/>
        <w:szCs w:val="16"/>
      </w:rPr>
      <w:t xml:space="preserve">Ingeniería en Informática-Duoc UC Plaza Norte | 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E92DC8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8463D" w14:textId="77777777" w:rsidR="006B11F1" w:rsidRDefault="006B11F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387B4" w14:textId="77777777" w:rsidR="004D18E1" w:rsidRDefault="004D18E1">
      <w:r>
        <w:separator/>
      </w:r>
    </w:p>
  </w:footnote>
  <w:footnote w:type="continuationSeparator" w:id="0">
    <w:p w14:paraId="2609238A" w14:textId="77777777" w:rsidR="004D18E1" w:rsidRDefault="004D18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63AE5" w14:textId="77777777" w:rsidR="006B11F1" w:rsidRDefault="00000000">
    <w:pPr>
      <w:pBdr>
        <w:bottom w:val="single" w:sz="4" w:space="2" w:color="F2B705"/>
      </w:pBdr>
      <w:jc w:val="right"/>
    </w:pPr>
    <w:r>
      <w:rPr>
        <w:color w:val="595959"/>
        <w:sz w:val="16"/>
        <w:szCs w:val="16"/>
      </w:rPr>
      <w:t>APT-Cultiva Tu Compra-CuTuCo | Plan de Calidad y de Costos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0ECCF" w14:textId="77777777" w:rsidR="006B11F1" w:rsidRDefault="006B11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5759B"/>
    <w:multiLevelType w:val="hybridMultilevel"/>
    <w:tmpl w:val="F564A5AA"/>
    <w:lvl w:ilvl="0" w:tplc="FDA6742E">
      <w:start w:val="1"/>
      <w:numFmt w:val="bullet"/>
      <w:lvlText w:val="•"/>
      <w:lvlJc w:val="left"/>
      <w:pPr>
        <w:ind w:left="540" w:hanging="270"/>
      </w:pPr>
    </w:lvl>
    <w:lvl w:ilvl="1" w:tplc="A5927948">
      <w:numFmt w:val="decimal"/>
      <w:lvlText w:val=""/>
      <w:lvlJc w:val="left"/>
    </w:lvl>
    <w:lvl w:ilvl="2" w:tplc="1F8CBAB6">
      <w:numFmt w:val="decimal"/>
      <w:lvlText w:val=""/>
      <w:lvlJc w:val="left"/>
    </w:lvl>
    <w:lvl w:ilvl="3" w:tplc="7E1C9662">
      <w:numFmt w:val="decimal"/>
      <w:lvlText w:val=""/>
      <w:lvlJc w:val="left"/>
    </w:lvl>
    <w:lvl w:ilvl="4" w:tplc="DBD4D0D8">
      <w:numFmt w:val="decimal"/>
      <w:lvlText w:val=""/>
      <w:lvlJc w:val="left"/>
    </w:lvl>
    <w:lvl w:ilvl="5" w:tplc="67245716">
      <w:numFmt w:val="decimal"/>
      <w:lvlText w:val=""/>
      <w:lvlJc w:val="left"/>
    </w:lvl>
    <w:lvl w:ilvl="6" w:tplc="7076B7DE">
      <w:numFmt w:val="decimal"/>
      <w:lvlText w:val=""/>
      <w:lvlJc w:val="left"/>
    </w:lvl>
    <w:lvl w:ilvl="7" w:tplc="4110742E">
      <w:numFmt w:val="decimal"/>
      <w:lvlText w:val=""/>
      <w:lvlJc w:val="left"/>
    </w:lvl>
    <w:lvl w:ilvl="8" w:tplc="73585F5E">
      <w:numFmt w:val="decimal"/>
      <w:lvlText w:val=""/>
      <w:lvlJc w:val="left"/>
    </w:lvl>
  </w:abstractNum>
  <w:abstractNum w:abstractNumId="1" w15:restartNumberingAfterBreak="0">
    <w:nsid w:val="7FC44C10"/>
    <w:multiLevelType w:val="hybridMultilevel"/>
    <w:tmpl w:val="2FBA533E"/>
    <w:lvl w:ilvl="0" w:tplc="DED8A7AA">
      <w:start w:val="1"/>
      <w:numFmt w:val="bullet"/>
      <w:lvlText w:val="●"/>
      <w:lvlJc w:val="left"/>
      <w:pPr>
        <w:ind w:left="720" w:hanging="360"/>
      </w:pPr>
    </w:lvl>
    <w:lvl w:ilvl="1" w:tplc="CA00E9C0">
      <w:start w:val="1"/>
      <w:numFmt w:val="bullet"/>
      <w:lvlText w:val="○"/>
      <w:lvlJc w:val="left"/>
      <w:pPr>
        <w:ind w:left="1440" w:hanging="360"/>
      </w:pPr>
    </w:lvl>
    <w:lvl w:ilvl="2" w:tplc="EED8729E">
      <w:start w:val="1"/>
      <w:numFmt w:val="bullet"/>
      <w:lvlText w:val="■"/>
      <w:lvlJc w:val="left"/>
      <w:pPr>
        <w:ind w:left="2160" w:hanging="360"/>
      </w:pPr>
    </w:lvl>
    <w:lvl w:ilvl="3" w:tplc="803AC0A4">
      <w:start w:val="1"/>
      <w:numFmt w:val="bullet"/>
      <w:lvlText w:val="●"/>
      <w:lvlJc w:val="left"/>
      <w:pPr>
        <w:ind w:left="2880" w:hanging="360"/>
      </w:pPr>
    </w:lvl>
    <w:lvl w:ilvl="4" w:tplc="0D106306">
      <w:start w:val="1"/>
      <w:numFmt w:val="bullet"/>
      <w:lvlText w:val="○"/>
      <w:lvlJc w:val="left"/>
      <w:pPr>
        <w:ind w:left="3600" w:hanging="360"/>
      </w:pPr>
    </w:lvl>
    <w:lvl w:ilvl="5" w:tplc="5EA0AE16">
      <w:start w:val="1"/>
      <w:numFmt w:val="bullet"/>
      <w:lvlText w:val="■"/>
      <w:lvlJc w:val="left"/>
      <w:pPr>
        <w:ind w:left="4320" w:hanging="360"/>
      </w:pPr>
    </w:lvl>
    <w:lvl w:ilvl="6" w:tplc="35B82638">
      <w:start w:val="1"/>
      <w:numFmt w:val="bullet"/>
      <w:lvlText w:val="●"/>
      <w:lvlJc w:val="left"/>
      <w:pPr>
        <w:ind w:left="5040" w:hanging="360"/>
      </w:pPr>
    </w:lvl>
    <w:lvl w:ilvl="7" w:tplc="797CF7F2">
      <w:start w:val="1"/>
      <w:numFmt w:val="bullet"/>
      <w:lvlText w:val="●"/>
      <w:lvlJc w:val="left"/>
      <w:pPr>
        <w:ind w:left="5760" w:hanging="360"/>
      </w:pPr>
    </w:lvl>
    <w:lvl w:ilvl="8" w:tplc="CB82F9F0">
      <w:start w:val="1"/>
      <w:numFmt w:val="bullet"/>
      <w:lvlText w:val="●"/>
      <w:lvlJc w:val="left"/>
      <w:pPr>
        <w:ind w:left="6480" w:hanging="360"/>
      </w:pPr>
    </w:lvl>
  </w:abstractNum>
  <w:num w:numId="1" w16cid:durableId="1168131093">
    <w:abstractNumId w:val="1"/>
    <w:lvlOverride w:ilvl="0">
      <w:startOverride w:val="1"/>
    </w:lvlOverride>
  </w:num>
  <w:num w:numId="2" w16cid:durableId="12941001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1F1"/>
    <w:rsid w:val="001C00E0"/>
    <w:rsid w:val="004D18E1"/>
    <w:rsid w:val="006B11F1"/>
    <w:rsid w:val="00752AAE"/>
    <w:rsid w:val="008071F9"/>
    <w:rsid w:val="008D470D"/>
    <w:rsid w:val="009C6790"/>
    <w:rsid w:val="009C7BEF"/>
    <w:rsid w:val="00B11E4B"/>
    <w:rsid w:val="00E92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32591"/>
  <w15:docId w15:val="{5AC781B6-0B60-4DAF-99DD-A898B14F9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4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20" w:after="100"/>
      <w:outlineLvl w:val="1"/>
    </w:pPr>
    <w:rPr>
      <w:b/>
      <w:bCs/>
      <w:color w:val="1F3864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4883</Words>
  <Characters>26860</Characters>
  <Application>Microsoft Office Word</Application>
  <DocSecurity>0</DocSecurity>
  <Lines>223</Lines>
  <Paragraphs>63</Paragraphs>
  <ScaleCrop>false</ScaleCrop>
  <Company/>
  <LinksUpToDate>false</LinksUpToDate>
  <CharactersWithSpaces>31680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Calidad y de Costos – CuTuCo</dc:title>
  <dc:creator>Vicente Rivera e Ignacio Fuenzalida</dc:creator>
  <cp:lastModifiedBy>IGNACIO JAVIER FUENZALIDA CHANDIA</cp:lastModifiedBy>
  <cp:revision>4</cp:revision>
  <dcterms:created xsi:type="dcterms:W3CDTF">2026-10-05T03:59:00Z</dcterms:created>
  <dcterms:modified xsi:type="dcterms:W3CDTF">2026-10-16T02:21:00Z</dcterms:modified>
</cp:coreProperties>
</file>