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FD83" w14:textId="77777777" w:rsidR="00242F0F" w:rsidRPr="00CA51BD" w:rsidRDefault="00000000">
      <w:pPr>
        <w:spacing w:after="0" w:line="240" w:lineRule="auto"/>
        <w:ind w:left="3" w:hanging="5"/>
        <w:jc w:val="center"/>
        <w:rPr>
          <w:rFonts w:asciiTheme="majorHAnsi" w:hAnsiTheme="majorHAnsi" w:cstheme="majorHAnsi"/>
          <w:b/>
          <w:color w:val="003F6C"/>
          <w:sz w:val="48"/>
          <w:szCs w:val="48"/>
        </w:rPr>
      </w:pPr>
      <w:bookmarkStart w:id="0" w:name="_heading=h.gjdgxs" w:colFirst="0" w:colLast="0"/>
      <w:bookmarkEnd w:id="0"/>
      <w:r w:rsidRPr="00CA51BD">
        <w:rPr>
          <w:rFonts w:asciiTheme="majorHAnsi" w:hAnsiTheme="majorHAnsi" w:cstheme="majorHAnsi"/>
          <w:b/>
          <w:color w:val="003F6C"/>
          <w:sz w:val="48"/>
          <w:szCs w:val="48"/>
        </w:rPr>
        <w:t>Acta de Constitucion del Proyecto</w:t>
      </w:r>
    </w:p>
    <w:p w14:paraId="256A8A58" w14:textId="77777777" w:rsidR="00242F0F" w:rsidRPr="00CA51BD" w:rsidRDefault="00000000">
      <w:pPr>
        <w:pStyle w:val="Ttulo1"/>
        <w:spacing w:before="280" w:after="280"/>
        <w:ind w:left="1" w:hanging="3"/>
        <w:rPr>
          <w:rFonts w:asciiTheme="majorHAnsi" w:hAnsiTheme="majorHAnsi" w:cstheme="majorHAnsi"/>
          <w:color w:val="005693"/>
        </w:rPr>
      </w:pPr>
      <w:bookmarkStart w:id="1" w:name="_heading=h.30j0zll" w:colFirst="0" w:colLast="0"/>
      <w:bookmarkEnd w:id="1"/>
      <w:r w:rsidRPr="00CA51BD">
        <w:rPr>
          <w:rFonts w:asciiTheme="majorHAnsi" w:hAnsiTheme="majorHAnsi" w:cstheme="majorHAnsi"/>
          <w:color w:val="005693"/>
        </w:rPr>
        <w:t>Información del proyecto</w:t>
      </w:r>
    </w:p>
    <w:p w14:paraId="034A2046" w14:textId="77777777" w:rsidR="00242F0F" w:rsidRPr="00CA51BD" w:rsidRDefault="00000000">
      <w:pPr>
        <w:pStyle w:val="Ttulo2"/>
        <w:spacing w:before="280" w:after="280"/>
        <w:ind w:hanging="2"/>
        <w:rPr>
          <w:rFonts w:asciiTheme="majorHAnsi" w:hAnsiTheme="majorHAnsi" w:cstheme="majorHAnsi"/>
          <w:color w:val="666666"/>
        </w:rPr>
      </w:pPr>
      <w:r w:rsidRPr="00CA51BD">
        <w:rPr>
          <w:rFonts w:asciiTheme="majorHAnsi" w:hAnsiTheme="majorHAnsi" w:cstheme="majorHAnsi"/>
          <w:color w:val="666666"/>
        </w:rPr>
        <w:t>Datos</w:t>
      </w:r>
    </w:p>
    <w:tbl>
      <w:tblPr>
        <w:tblStyle w:val="ab"/>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5751"/>
      </w:tblGrid>
      <w:tr w:rsidR="00242F0F" w:rsidRPr="00CA51BD" w14:paraId="2C8EA66C" w14:textId="77777777">
        <w:tc>
          <w:tcPr>
            <w:tcW w:w="3119" w:type="dxa"/>
            <w:tcBorders>
              <w:top w:val="single" w:sz="4" w:space="0" w:color="003F6C"/>
              <w:left w:val="single" w:sz="4" w:space="0" w:color="003F6C"/>
              <w:bottom w:val="single" w:sz="4" w:space="0" w:color="003F6C"/>
              <w:right w:val="single" w:sz="4" w:space="0" w:color="003F6C"/>
            </w:tcBorders>
            <w:shd w:val="clear" w:color="auto" w:fill="005693"/>
          </w:tcPr>
          <w:p w14:paraId="4DC4C9C9" w14:textId="77777777" w:rsidR="00242F0F" w:rsidRPr="00CA51BD" w:rsidRDefault="00000000">
            <w:pPr>
              <w:spacing w:after="0" w:line="240" w:lineRule="auto"/>
              <w:ind w:hanging="2"/>
              <w:rPr>
                <w:rFonts w:asciiTheme="majorHAnsi" w:hAnsiTheme="majorHAnsi" w:cstheme="majorHAnsi"/>
                <w:color w:val="FFFFFF"/>
              </w:rPr>
            </w:pPr>
            <w:r w:rsidRPr="00CA51BD">
              <w:rPr>
                <w:rFonts w:asciiTheme="majorHAnsi" w:hAnsiTheme="majorHAnsi" w:cstheme="majorHAnsi"/>
                <w:color w:val="FFFFFF"/>
                <w:sz w:val="16"/>
              </w:rPr>
              <w:t>Empresa / Organización</w:t>
            </w:r>
          </w:p>
        </w:tc>
        <w:tc>
          <w:tcPr>
            <w:tcW w:w="5751" w:type="dxa"/>
            <w:tcBorders>
              <w:top w:val="single" w:sz="4" w:space="0" w:color="666666"/>
              <w:left w:val="single" w:sz="4" w:space="0" w:color="003F6C"/>
              <w:bottom w:val="single" w:sz="4" w:space="0" w:color="666666"/>
              <w:right w:val="single" w:sz="4" w:space="0" w:color="666666"/>
            </w:tcBorders>
          </w:tcPr>
          <w:p w14:paraId="117E123F"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Duoc UC Plaza Norte / Ingenieria en Informatica</w:t>
            </w:r>
          </w:p>
        </w:tc>
      </w:tr>
      <w:tr w:rsidR="00242F0F" w:rsidRPr="00CA51BD" w14:paraId="623D15FF" w14:textId="77777777">
        <w:tc>
          <w:tcPr>
            <w:tcW w:w="3119" w:type="dxa"/>
            <w:tcBorders>
              <w:top w:val="single" w:sz="4" w:space="0" w:color="003F6C"/>
              <w:left w:val="single" w:sz="4" w:space="0" w:color="003F6C"/>
              <w:bottom w:val="single" w:sz="4" w:space="0" w:color="003F6C"/>
              <w:right w:val="single" w:sz="4" w:space="0" w:color="003F6C"/>
            </w:tcBorders>
            <w:shd w:val="clear" w:color="auto" w:fill="005693"/>
          </w:tcPr>
          <w:p w14:paraId="7793452A" w14:textId="77777777" w:rsidR="00242F0F" w:rsidRPr="00CA51BD" w:rsidRDefault="00000000">
            <w:pPr>
              <w:spacing w:after="0" w:line="240" w:lineRule="auto"/>
              <w:ind w:hanging="2"/>
              <w:rPr>
                <w:rFonts w:asciiTheme="majorHAnsi" w:hAnsiTheme="majorHAnsi" w:cstheme="majorHAnsi"/>
                <w:color w:val="FFFFFF"/>
              </w:rPr>
            </w:pPr>
            <w:r w:rsidRPr="00CA51BD">
              <w:rPr>
                <w:rFonts w:asciiTheme="majorHAnsi" w:hAnsiTheme="majorHAnsi" w:cstheme="majorHAnsi"/>
                <w:color w:val="FFFFFF"/>
                <w:sz w:val="16"/>
              </w:rPr>
              <w:t>Proyecto</w:t>
            </w:r>
          </w:p>
        </w:tc>
        <w:tc>
          <w:tcPr>
            <w:tcW w:w="5751" w:type="dxa"/>
            <w:tcBorders>
              <w:top w:val="single" w:sz="4" w:space="0" w:color="666666"/>
              <w:left w:val="single" w:sz="4" w:space="0" w:color="003F6C"/>
              <w:bottom w:val="single" w:sz="4" w:space="0" w:color="666666"/>
              <w:right w:val="single" w:sz="4" w:space="0" w:color="666666"/>
            </w:tcBorders>
          </w:tcPr>
          <w:p w14:paraId="67D1447B"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CuTuCo (Cultiva Tu Compra) - Marketplace SaaS B2B2C de comercio de proximidad</w:t>
            </w:r>
          </w:p>
        </w:tc>
      </w:tr>
      <w:tr w:rsidR="00242F0F" w:rsidRPr="00CA51BD" w14:paraId="32735F29" w14:textId="77777777">
        <w:tc>
          <w:tcPr>
            <w:tcW w:w="3119" w:type="dxa"/>
            <w:tcBorders>
              <w:top w:val="single" w:sz="4" w:space="0" w:color="003F6C"/>
              <w:left w:val="single" w:sz="4" w:space="0" w:color="003F6C"/>
              <w:bottom w:val="single" w:sz="4" w:space="0" w:color="003F6C"/>
              <w:right w:val="single" w:sz="4" w:space="0" w:color="003F6C"/>
            </w:tcBorders>
            <w:shd w:val="clear" w:color="auto" w:fill="005693"/>
          </w:tcPr>
          <w:p w14:paraId="5C81C661" w14:textId="77777777" w:rsidR="00242F0F" w:rsidRPr="00CA51BD" w:rsidRDefault="00000000">
            <w:pPr>
              <w:spacing w:after="0" w:line="240" w:lineRule="auto"/>
              <w:ind w:hanging="2"/>
              <w:rPr>
                <w:rFonts w:asciiTheme="majorHAnsi" w:hAnsiTheme="majorHAnsi" w:cstheme="majorHAnsi"/>
                <w:color w:val="FFFFFF"/>
              </w:rPr>
            </w:pPr>
            <w:r w:rsidRPr="00CA51BD">
              <w:rPr>
                <w:rFonts w:asciiTheme="majorHAnsi" w:hAnsiTheme="majorHAnsi" w:cstheme="majorHAnsi"/>
                <w:color w:val="FFFFFF"/>
                <w:sz w:val="16"/>
              </w:rPr>
              <w:t>Fecha de preparación</w:t>
            </w:r>
          </w:p>
        </w:tc>
        <w:tc>
          <w:tcPr>
            <w:tcW w:w="5751" w:type="dxa"/>
            <w:tcBorders>
              <w:top w:val="single" w:sz="4" w:space="0" w:color="666666"/>
              <w:left w:val="single" w:sz="4" w:space="0" w:color="003F6C"/>
              <w:bottom w:val="single" w:sz="4" w:space="0" w:color="666666"/>
              <w:right w:val="single" w:sz="4" w:space="0" w:color="666666"/>
            </w:tcBorders>
          </w:tcPr>
          <w:p w14:paraId="79A462E8"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11 de septiembre de 2026</w:t>
            </w:r>
          </w:p>
        </w:tc>
      </w:tr>
      <w:tr w:rsidR="00242F0F" w:rsidRPr="00CA51BD" w14:paraId="4221C5D9" w14:textId="77777777">
        <w:tc>
          <w:tcPr>
            <w:tcW w:w="3119" w:type="dxa"/>
            <w:tcBorders>
              <w:top w:val="single" w:sz="4" w:space="0" w:color="003F6C"/>
              <w:left w:val="single" w:sz="4" w:space="0" w:color="003F6C"/>
              <w:bottom w:val="single" w:sz="4" w:space="0" w:color="003F6C"/>
              <w:right w:val="single" w:sz="4" w:space="0" w:color="003F6C"/>
            </w:tcBorders>
            <w:shd w:val="clear" w:color="auto" w:fill="005693"/>
          </w:tcPr>
          <w:p w14:paraId="0F166B8F" w14:textId="77777777" w:rsidR="00242F0F" w:rsidRPr="00CA51BD" w:rsidRDefault="00000000">
            <w:pPr>
              <w:spacing w:after="0" w:line="240" w:lineRule="auto"/>
              <w:ind w:hanging="2"/>
              <w:rPr>
                <w:rFonts w:asciiTheme="majorHAnsi" w:hAnsiTheme="majorHAnsi" w:cstheme="majorHAnsi"/>
                <w:color w:val="FFFFFF"/>
              </w:rPr>
            </w:pPr>
            <w:r w:rsidRPr="00CA51BD">
              <w:rPr>
                <w:rFonts w:asciiTheme="majorHAnsi" w:hAnsiTheme="majorHAnsi" w:cstheme="majorHAnsi"/>
                <w:color w:val="FFFFFF"/>
                <w:sz w:val="16"/>
              </w:rPr>
              <w:t>Cliente</w:t>
            </w:r>
          </w:p>
        </w:tc>
        <w:tc>
          <w:tcPr>
            <w:tcW w:w="5751" w:type="dxa"/>
            <w:tcBorders>
              <w:top w:val="single" w:sz="4" w:space="0" w:color="666666"/>
              <w:left w:val="single" w:sz="4" w:space="0" w:color="003F6C"/>
              <w:bottom w:val="single" w:sz="4" w:space="0" w:color="666666"/>
              <w:right w:val="single" w:sz="4" w:space="0" w:color="666666"/>
            </w:tcBorders>
          </w:tcPr>
          <w:p w14:paraId="6A29013F"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Proyecto academico Capstone de Duoc UC Plaza Norte</w:t>
            </w:r>
          </w:p>
        </w:tc>
      </w:tr>
      <w:tr w:rsidR="00242F0F" w:rsidRPr="00CA51BD" w14:paraId="1002C3C0" w14:textId="77777777">
        <w:tc>
          <w:tcPr>
            <w:tcW w:w="3119" w:type="dxa"/>
            <w:tcBorders>
              <w:top w:val="single" w:sz="4" w:space="0" w:color="003F6C"/>
              <w:left w:val="single" w:sz="4" w:space="0" w:color="003F6C"/>
              <w:bottom w:val="single" w:sz="4" w:space="0" w:color="003F6C"/>
              <w:right w:val="single" w:sz="4" w:space="0" w:color="003F6C"/>
            </w:tcBorders>
            <w:shd w:val="clear" w:color="auto" w:fill="005693"/>
          </w:tcPr>
          <w:p w14:paraId="24AFE841" w14:textId="77777777" w:rsidR="00242F0F" w:rsidRPr="00CA51BD" w:rsidRDefault="00000000">
            <w:pPr>
              <w:spacing w:after="0" w:line="240" w:lineRule="auto"/>
              <w:ind w:hanging="2"/>
              <w:rPr>
                <w:rFonts w:asciiTheme="majorHAnsi" w:hAnsiTheme="majorHAnsi" w:cstheme="majorHAnsi"/>
                <w:color w:val="FFFFFF"/>
              </w:rPr>
            </w:pPr>
            <w:r w:rsidRPr="00CA51BD">
              <w:rPr>
                <w:rFonts w:asciiTheme="majorHAnsi" w:hAnsiTheme="majorHAnsi" w:cstheme="majorHAnsi"/>
                <w:color w:val="FFFFFF"/>
                <w:sz w:val="16"/>
              </w:rPr>
              <w:t>Patrocinador principal</w:t>
            </w:r>
          </w:p>
        </w:tc>
        <w:tc>
          <w:tcPr>
            <w:tcW w:w="5751" w:type="dxa"/>
            <w:tcBorders>
              <w:top w:val="single" w:sz="4" w:space="0" w:color="666666"/>
              <w:left w:val="single" w:sz="4" w:space="0" w:color="003F6C"/>
              <w:bottom w:val="single" w:sz="4" w:space="0" w:color="666666"/>
              <w:right w:val="single" w:sz="4" w:space="0" w:color="666666"/>
            </w:tcBorders>
          </w:tcPr>
          <w:p w14:paraId="0B6DD7F7" w14:textId="28B854DC"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Patrocinio academico de la asignatura</w:t>
            </w:r>
            <w:r w:rsidR="00CA51BD" w:rsidRPr="00CA51BD">
              <w:rPr>
                <w:rFonts w:asciiTheme="majorHAnsi" w:hAnsiTheme="majorHAnsi" w:cstheme="majorHAnsi"/>
                <w:sz w:val="17"/>
              </w:rPr>
              <w:t xml:space="preserve"> Duoc UC</w:t>
            </w:r>
          </w:p>
        </w:tc>
      </w:tr>
      <w:tr w:rsidR="00242F0F" w:rsidRPr="00CA51BD" w14:paraId="1B9B4781" w14:textId="77777777">
        <w:tc>
          <w:tcPr>
            <w:tcW w:w="3119" w:type="dxa"/>
            <w:tcBorders>
              <w:top w:val="single" w:sz="4" w:space="0" w:color="003F6C"/>
              <w:left w:val="single" w:sz="4" w:space="0" w:color="003F6C"/>
              <w:bottom w:val="single" w:sz="4" w:space="0" w:color="003F6C"/>
              <w:right w:val="single" w:sz="4" w:space="0" w:color="003F6C"/>
            </w:tcBorders>
            <w:shd w:val="clear" w:color="auto" w:fill="005693"/>
          </w:tcPr>
          <w:p w14:paraId="551C45E2" w14:textId="77777777" w:rsidR="00242F0F" w:rsidRPr="00CA51BD" w:rsidRDefault="00000000">
            <w:pPr>
              <w:spacing w:after="0" w:line="240" w:lineRule="auto"/>
              <w:ind w:hanging="2"/>
              <w:rPr>
                <w:rFonts w:asciiTheme="majorHAnsi" w:hAnsiTheme="majorHAnsi" w:cstheme="majorHAnsi"/>
                <w:color w:val="FFFFFF"/>
              </w:rPr>
            </w:pPr>
            <w:r w:rsidRPr="00CA51BD">
              <w:rPr>
                <w:rFonts w:asciiTheme="majorHAnsi" w:hAnsiTheme="majorHAnsi" w:cstheme="majorHAnsi"/>
                <w:color w:val="FFFFFF"/>
                <w:sz w:val="16"/>
              </w:rPr>
              <w:t>Gerente de proyecto</w:t>
            </w:r>
          </w:p>
        </w:tc>
        <w:tc>
          <w:tcPr>
            <w:tcW w:w="5751" w:type="dxa"/>
            <w:tcBorders>
              <w:top w:val="single" w:sz="4" w:space="0" w:color="666666"/>
              <w:left w:val="single" w:sz="4" w:space="0" w:color="003F6C"/>
              <w:bottom w:val="single" w:sz="4" w:space="0" w:color="666666"/>
              <w:right w:val="single" w:sz="4" w:space="0" w:color="666666"/>
            </w:tcBorders>
          </w:tcPr>
          <w:p w14:paraId="38B1E497"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Asumimos la direccion del proyecto entre los dos integrantes y repartimos las responsabilidades principales entre backend y frontend. Vicente Rivera mantiene el rol formal de Jefe de Proyecto y lidera backend; Ignacio Fuenzalida lidera frontend. La arquitectura, las pruebas, la documentacion, el control de cambios y la coordinacion se mantienen como responsabilidades compartidas.</w:t>
            </w:r>
          </w:p>
        </w:tc>
      </w:tr>
    </w:tbl>
    <w:p w14:paraId="2F12E0C1" w14:textId="77777777" w:rsidR="00242F0F" w:rsidRPr="00CA51BD" w:rsidRDefault="00000000">
      <w:pPr>
        <w:pStyle w:val="Ttulo1"/>
        <w:spacing w:before="280" w:after="280"/>
        <w:ind w:left="1" w:hanging="3"/>
        <w:rPr>
          <w:rFonts w:asciiTheme="majorHAnsi" w:hAnsiTheme="majorHAnsi" w:cstheme="majorHAnsi"/>
          <w:color w:val="005693"/>
        </w:rPr>
      </w:pPr>
      <w:bookmarkStart w:id="2" w:name="_heading=h.1fob9te" w:colFirst="0" w:colLast="0"/>
      <w:bookmarkEnd w:id="2"/>
      <w:r w:rsidRPr="00CA51BD">
        <w:rPr>
          <w:rFonts w:asciiTheme="majorHAnsi" w:hAnsiTheme="majorHAnsi" w:cstheme="majorHAnsi"/>
          <w:b w:val="0"/>
        </w:rPr>
        <w:br/>
      </w:r>
      <w:r w:rsidRPr="00CA51BD">
        <w:rPr>
          <w:rFonts w:asciiTheme="majorHAnsi" w:hAnsiTheme="majorHAnsi" w:cstheme="majorHAnsi"/>
          <w:color w:val="005693"/>
        </w:rPr>
        <w:t>Propósito y justificación del proyecto</w:t>
      </w:r>
    </w:p>
    <w:tbl>
      <w:tblPr>
        <w:tblStyle w:val="ac"/>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0"/>
      </w:tblGrid>
      <w:tr w:rsidR="00242F0F" w:rsidRPr="00CA51BD" w14:paraId="2DC8C19D" w14:textId="77777777">
        <w:tc>
          <w:tcPr>
            <w:tcW w:w="8870" w:type="dxa"/>
            <w:tcBorders>
              <w:top w:val="single" w:sz="4" w:space="0" w:color="666666"/>
              <w:left w:val="single" w:sz="4" w:space="0" w:color="666666"/>
              <w:bottom w:val="single" w:sz="4" w:space="0" w:color="666666"/>
              <w:right w:val="single" w:sz="4" w:space="0" w:color="666666"/>
            </w:tcBorders>
          </w:tcPr>
          <w:p w14:paraId="02450B22"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7"/>
              </w:rPr>
              <w:t>Desarrollamos CuTuCo para responder a la brecha tecnologica que tienen pequenos y medianos productores locales para vender por internet y a la intermediacion comercial que reduce su margen. Nuestra propuesta es un Marketplace SaaS B2B2C de comercio de proximidad que conecta de manera directa a productores con compradores y comercios locales, sin exigir que cada productor mantenga una tienda digital independiente.</w:t>
            </w:r>
            <w:r w:rsidRPr="00CA51BD">
              <w:rPr>
                <w:rFonts w:asciiTheme="majorHAnsi" w:hAnsiTheme="majorHAnsi" w:cstheme="majorHAnsi"/>
                <w:sz w:val="17"/>
              </w:rPr>
              <w:br/>
            </w:r>
            <w:r w:rsidRPr="00CA51BD">
              <w:rPr>
                <w:rFonts w:asciiTheme="majorHAnsi" w:hAnsiTheme="majorHAnsi" w:cstheme="majorHAnsi"/>
                <w:sz w:val="17"/>
              </w:rPr>
              <w:br/>
              <w:t>Partimos de un MVP funcional desarrollado con Ionic 8, Angular 18 y SQLite. En este proyecto nosotros realizaremos su reingenieria hacia una solucion web responsive y con una arquitectura mas desacoplada, aprovechando Supabase para autenticacion y persistencia, Vue.js + Vite para el frontend y los servicios de backend que realmente sean necesarios para las reglas de negocio e integraciones.</w:t>
            </w:r>
            <w:r w:rsidRPr="00CA51BD">
              <w:rPr>
                <w:rFonts w:asciiTheme="majorHAnsi" w:hAnsiTheme="majorHAnsi" w:cstheme="majorHAnsi"/>
                <w:sz w:val="17"/>
              </w:rPr>
              <w:br/>
            </w:r>
            <w:r w:rsidRPr="00CA51BD">
              <w:rPr>
                <w:rFonts w:asciiTheme="majorHAnsi" w:hAnsiTheme="majorHAnsi" w:cstheme="majorHAnsi"/>
                <w:sz w:val="17"/>
              </w:rPr>
              <w:br/>
              <w:t>La actualizacion final de requerimientos tambien nos llevo a simplificar el alcance. Nosotros descartamos la geolocalizacion activa y la restriccion comunal, dejando solo la validacion por region; descartamos el historial de precios, el umbral automatico de stock y las fotografias obligatorias. En su lugar, incorporamos un codigo de verificacion al momento de la entrega, una calificacion simple de 1 a 5 con promedio y una gestion manual de sanciones desde el panel administrativo. Tambien ajustamos el flujo de pagos: adoptamos Webpay Mall (Split Payment) de Transbank, de modo que la plataforma ya no retiene la venta ni ejecuta payouts: la pasarela captura y dispersa el pago en tiempo real y deposita directo en la cuenta bancaria del comercio. Incorporamos ademas el ingreso del Codigo de Comercio Mall en el panel de administracion.</w:t>
            </w:r>
            <w:r w:rsidRPr="00CA51BD">
              <w:rPr>
                <w:rFonts w:asciiTheme="majorHAnsi" w:hAnsiTheme="majorHAnsi" w:cstheme="majorHAnsi"/>
                <w:sz w:val="17"/>
              </w:rPr>
              <w:br/>
            </w:r>
            <w:r w:rsidRPr="00CA51BD">
              <w:rPr>
                <w:rFonts w:asciiTheme="majorHAnsi" w:hAnsiTheme="majorHAnsi" w:cstheme="majorHAnsi"/>
                <w:sz w:val="17"/>
              </w:rPr>
              <w:br/>
              <w:t>Nuestra justificacion tambien es academica: nosotros aplicaremos planificacion, analisis, diseno, construccion, pruebas, implementacion, control de cambios y documentacion en un sistema donde las decisiones tecnicas afectan directamente los flujos de compra, venta, entrega, pagos y administracion.</w:t>
            </w:r>
          </w:p>
        </w:tc>
      </w:tr>
    </w:tbl>
    <w:p w14:paraId="09B8689A" w14:textId="77777777" w:rsidR="00242F0F" w:rsidRPr="00CA51BD" w:rsidRDefault="00000000">
      <w:pPr>
        <w:pStyle w:val="Ttulo1"/>
        <w:spacing w:before="280" w:after="280"/>
        <w:ind w:left="1" w:hanging="3"/>
        <w:rPr>
          <w:rFonts w:asciiTheme="majorHAnsi" w:hAnsiTheme="majorHAnsi" w:cstheme="majorHAnsi"/>
          <w:color w:val="005693"/>
        </w:rPr>
      </w:pPr>
      <w:bookmarkStart w:id="3" w:name="_heading=h.3znysh7" w:colFirst="0" w:colLast="0"/>
      <w:bookmarkEnd w:id="3"/>
      <w:r w:rsidRPr="00CA51BD">
        <w:rPr>
          <w:rFonts w:asciiTheme="majorHAnsi" w:hAnsiTheme="majorHAnsi" w:cstheme="majorHAnsi"/>
          <w:b w:val="0"/>
        </w:rPr>
        <w:br/>
      </w:r>
      <w:r w:rsidRPr="00CA51BD">
        <w:rPr>
          <w:rFonts w:asciiTheme="majorHAnsi" w:hAnsiTheme="majorHAnsi" w:cstheme="majorHAnsi"/>
          <w:color w:val="005693"/>
        </w:rPr>
        <w:t>Descripción del proyecto y entregables</w:t>
      </w:r>
    </w:p>
    <w:tbl>
      <w:tblPr>
        <w:tblStyle w:val="ad"/>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0"/>
      </w:tblGrid>
      <w:tr w:rsidR="00242F0F" w:rsidRPr="00CA51BD" w14:paraId="2412C119" w14:textId="77777777">
        <w:tc>
          <w:tcPr>
            <w:tcW w:w="8870" w:type="dxa"/>
            <w:tcBorders>
              <w:top w:val="single" w:sz="4" w:space="0" w:color="666666"/>
              <w:left w:val="single" w:sz="4" w:space="0" w:color="666666"/>
              <w:bottom w:val="single" w:sz="4" w:space="0" w:color="666666"/>
              <w:right w:val="single" w:sz="4" w:space="0" w:color="666666"/>
            </w:tcBorders>
          </w:tcPr>
          <w:p w14:paraId="029187C8"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Implementaremos la evolucion de CuTuCo desde el prototipo movil local hacia una plataforma web responsive. El frontend se desarrollara con Vue.js + Vite y se desplegara en Vercel. La persistencia se migrara a PostgreSQL en Supabase y utilizaremos Supabase Auth (GoTrue) para login, refresh, recuperacion y verificacion de cuentas. Para consultas simples utilizaremos PostgREST y dejaremos FastAPI acotado a las reglas que requieran logica adicional, como el bloqueo temporal por intentos fallidos, validaciones complementarias e integraciones que no sea conveniente resolver directamente desde Supabase.</w:t>
            </w:r>
            <w:r w:rsidRPr="00CA51BD">
              <w:rPr>
                <w:rFonts w:asciiTheme="majorHAnsi" w:hAnsiTheme="majorHAnsi" w:cstheme="majorHAnsi"/>
                <w:sz w:val="16"/>
              </w:rPr>
              <w:br/>
            </w:r>
            <w:r w:rsidRPr="00CA51BD">
              <w:rPr>
                <w:rFonts w:asciiTheme="majorHAnsi" w:hAnsiTheme="majorHAnsi" w:cstheme="majorHAnsi"/>
                <w:sz w:val="16"/>
              </w:rPr>
              <w:br/>
              <w:t xml:space="preserve">El alcance final incluye registro de Cliente y Vendedor, aprobacion manual del productor con verificacion documental KYB (cedula o </w:t>
            </w:r>
            <w:r w:rsidRPr="00CA51BD">
              <w:rPr>
                <w:rFonts w:asciiTheme="majorHAnsi" w:hAnsiTheme="majorHAnsi" w:cstheme="majorHAnsi"/>
                <w:sz w:val="16"/>
              </w:rPr>
              <w:lastRenderedPageBreak/>
              <w:t>E-RUT, Certificado de Inicio de Actividades del SII, certificado de titularidad bancaria y comprobante de domicilio o predio) e ingreso del Codigo de Comercio Mall, perfiles y permisos, navegacion publica sin login hasta el checkout, catalogo, carrito, compras, gestion de productos y stock, restricciones de compra por region, delivery con estados Preparacion -&gt; En Transito -&gt; Entregado y codigo de verificacion, Webpay Mall (Split Payment) de Transbank con liquidacion directa a la cuenta bancaria del comercio, sin custodia ni payouts propios, reembolsos post venta, calificaciones de 1 a 5, sanciones manuales y moderacion basica. Los datos financieros necesarios para la inscripcion de la cuenta bancaria en Transbank se manejaran con medidas de seguridad y cifrado.</w:t>
            </w:r>
            <w:r w:rsidRPr="00CA51BD">
              <w:rPr>
                <w:rFonts w:asciiTheme="majorHAnsi" w:hAnsiTheme="majorHAnsi" w:cstheme="majorHAnsi"/>
                <w:sz w:val="16"/>
              </w:rPr>
              <w:br/>
            </w:r>
            <w:r w:rsidRPr="00CA51BD">
              <w:rPr>
                <w:rFonts w:asciiTheme="majorHAnsi" w:hAnsiTheme="majorHAnsi" w:cstheme="majorHAnsi"/>
                <w:sz w:val="16"/>
              </w:rPr>
              <w:br/>
              <w:t>Tambien nosotros incorporaremos comunicaciones por correo. Supabase Auth utilizara SMTP de Resend para recuperacion, bienvenida y verificacion, mientras que las notificaciones propias del negocio se gestionaran mediante Resend API. La administracion mantendra CRUD de usuarios y las reglas de moderacion necesarias, incluyendo una lista configurable de palabras prohibidas. No incluiremos como alcance del MVP la geolocalizacion GPS, el historial de precios, las alertas automaticas por umbral de stock, las fotografias obligatorias, la reputacion algoritmica, el tracking con mapa en tiempo real ni Redis de Upstash, porque el informe actualizado los deja fuera o los considera sobreingenieria para esta etapa.</w:t>
            </w:r>
            <w:r w:rsidRPr="00CA51BD">
              <w:rPr>
                <w:rFonts w:asciiTheme="majorHAnsi" w:hAnsiTheme="majorHAnsi" w:cstheme="majorHAnsi"/>
                <w:sz w:val="16"/>
              </w:rPr>
              <w:br/>
            </w:r>
            <w:r w:rsidRPr="00CA51BD">
              <w:rPr>
                <w:rFonts w:asciiTheme="majorHAnsi" w:hAnsiTheme="majorHAnsi" w:cstheme="majorHAnsi"/>
                <w:sz w:val="16"/>
              </w:rPr>
              <w:br/>
              <w:t>Para administrar el proyecto nosotros entregaremos, por fases, el Acta de Constitucion; EDT; Hitos de Desarrollo y Diccionario; Carta Gantt; RACI; Matriz de Riesgos; Plan de Pruebas Inicial; ERS; modelos de datos y arquitectura; mockups; Plan de Calidad y de Costos; codigo fuente y documentacion interna; base de datos y scripts de creacion; minuta de control de programacion; verificacion de alcances; Plan de Pruebas Final y Reporte de Estatus Final; Plan de Implantacion, Soporte y Mantenimiento; y Manuales de Usuario y Administrador.</w:t>
            </w:r>
          </w:p>
        </w:tc>
      </w:tr>
    </w:tbl>
    <w:p w14:paraId="7E86B3D2" w14:textId="77777777" w:rsidR="00242F0F" w:rsidRPr="00CA51BD" w:rsidRDefault="00242F0F">
      <w:pPr>
        <w:pStyle w:val="Ttulo1"/>
        <w:spacing w:before="280" w:after="280"/>
        <w:ind w:left="1" w:hanging="3"/>
        <w:rPr>
          <w:rFonts w:asciiTheme="majorHAnsi" w:hAnsiTheme="majorHAnsi" w:cstheme="majorHAnsi"/>
          <w:b w:val="0"/>
        </w:rPr>
      </w:pPr>
      <w:bookmarkStart w:id="4" w:name="_heading=h.2et92p0" w:colFirst="0" w:colLast="0"/>
      <w:bookmarkEnd w:id="4"/>
    </w:p>
    <w:p w14:paraId="10AD8B09" w14:textId="77777777" w:rsidR="00242F0F" w:rsidRPr="00CA51BD" w:rsidRDefault="00242F0F">
      <w:pPr>
        <w:pStyle w:val="Ttulo1"/>
        <w:spacing w:before="280" w:after="280"/>
        <w:ind w:left="1" w:hanging="3"/>
        <w:rPr>
          <w:rFonts w:asciiTheme="majorHAnsi" w:hAnsiTheme="majorHAnsi" w:cstheme="majorHAnsi"/>
          <w:b w:val="0"/>
        </w:rPr>
      </w:pPr>
      <w:bookmarkStart w:id="5" w:name="_heading=h.gxpomrv7dvk2" w:colFirst="0" w:colLast="0"/>
      <w:bookmarkEnd w:id="5"/>
    </w:p>
    <w:p w14:paraId="6CBB829A" w14:textId="77777777" w:rsidR="00242F0F" w:rsidRPr="00CA51BD" w:rsidRDefault="00242F0F">
      <w:pPr>
        <w:pStyle w:val="Ttulo1"/>
        <w:spacing w:before="280" w:after="280"/>
        <w:ind w:left="1" w:hanging="3"/>
        <w:rPr>
          <w:rFonts w:asciiTheme="majorHAnsi" w:hAnsiTheme="majorHAnsi" w:cstheme="majorHAnsi"/>
          <w:b w:val="0"/>
        </w:rPr>
      </w:pPr>
      <w:bookmarkStart w:id="6" w:name="_heading=h.xj5ndbm79baz" w:colFirst="0" w:colLast="0"/>
      <w:bookmarkEnd w:id="6"/>
    </w:p>
    <w:p w14:paraId="708E3FD5" w14:textId="77777777" w:rsidR="00242F0F" w:rsidRPr="00CA51BD" w:rsidRDefault="00242F0F">
      <w:pPr>
        <w:pStyle w:val="Ttulo1"/>
        <w:spacing w:before="280" w:after="280"/>
        <w:ind w:left="1" w:hanging="3"/>
        <w:rPr>
          <w:rFonts w:asciiTheme="majorHAnsi" w:hAnsiTheme="majorHAnsi" w:cstheme="majorHAnsi"/>
          <w:b w:val="0"/>
        </w:rPr>
      </w:pPr>
      <w:bookmarkStart w:id="7" w:name="_heading=h.owzsqkl4hf2t" w:colFirst="0" w:colLast="0"/>
      <w:bookmarkEnd w:id="7"/>
    </w:p>
    <w:p w14:paraId="1C33D22E" w14:textId="77777777" w:rsidR="00242F0F" w:rsidRPr="00CA51BD" w:rsidRDefault="00242F0F">
      <w:pPr>
        <w:pStyle w:val="Ttulo1"/>
        <w:spacing w:before="280" w:after="280"/>
        <w:ind w:left="1" w:hanging="3"/>
        <w:rPr>
          <w:rFonts w:asciiTheme="majorHAnsi" w:hAnsiTheme="majorHAnsi" w:cstheme="majorHAnsi"/>
          <w:b w:val="0"/>
        </w:rPr>
      </w:pPr>
      <w:bookmarkStart w:id="8" w:name="_heading=h.ir6omt183i2j" w:colFirst="0" w:colLast="0"/>
      <w:bookmarkEnd w:id="8"/>
    </w:p>
    <w:p w14:paraId="0B12F5AC" w14:textId="77777777" w:rsidR="00242F0F" w:rsidRPr="00CA51BD" w:rsidRDefault="00000000">
      <w:pPr>
        <w:pStyle w:val="Ttulo1"/>
        <w:spacing w:before="280" w:after="280"/>
        <w:ind w:left="1" w:hanging="3"/>
        <w:rPr>
          <w:rFonts w:asciiTheme="majorHAnsi" w:hAnsiTheme="majorHAnsi" w:cstheme="majorHAnsi"/>
          <w:color w:val="005693"/>
        </w:rPr>
      </w:pPr>
      <w:bookmarkStart w:id="9" w:name="_heading=h.u2xnwir3ottz" w:colFirst="0" w:colLast="0"/>
      <w:bookmarkEnd w:id="9"/>
      <w:r w:rsidRPr="00CA51BD">
        <w:rPr>
          <w:rFonts w:asciiTheme="majorHAnsi" w:hAnsiTheme="majorHAnsi" w:cstheme="majorHAnsi"/>
          <w:color w:val="005693"/>
        </w:rPr>
        <w:t>Objetivos</w:t>
      </w:r>
    </w:p>
    <w:tbl>
      <w:tblPr>
        <w:tblStyle w:val="ae"/>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12"/>
        <w:gridCol w:w="3058"/>
      </w:tblGrid>
      <w:tr w:rsidR="00242F0F" w:rsidRPr="00CA51BD" w14:paraId="55529B55" w14:textId="77777777">
        <w:trPr>
          <w:trHeight w:val="223"/>
        </w:trPr>
        <w:tc>
          <w:tcPr>
            <w:tcW w:w="5812" w:type="dxa"/>
            <w:tcBorders>
              <w:top w:val="single" w:sz="4" w:space="0" w:color="003F6C"/>
              <w:left w:val="single" w:sz="4" w:space="0" w:color="003F6C"/>
              <w:bottom w:val="single" w:sz="4" w:space="0" w:color="005693"/>
              <w:right w:val="single" w:sz="4" w:space="0" w:color="003F6C"/>
            </w:tcBorders>
            <w:shd w:val="clear" w:color="auto" w:fill="003F6C"/>
          </w:tcPr>
          <w:p w14:paraId="71677B7B" w14:textId="77777777" w:rsidR="00242F0F" w:rsidRPr="00CA51BD" w:rsidRDefault="00000000">
            <w:pPr>
              <w:pBdr>
                <w:top w:val="nil"/>
                <w:left w:val="nil"/>
                <w:bottom w:val="nil"/>
                <w:right w:val="nil"/>
                <w:between w:val="nil"/>
              </w:pBd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Objetivo</w:t>
            </w:r>
          </w:p>
        </w:tc>
        <w:tc>
          <w:tcPr>
            <w:tcW w:w="3058" w:type="dxa"/>
            <w:tcBorders>
              <w:top w:val="single" w:sz="4" w:space="0" w:color="003F6C"/>
              <w:left w:val="single" w:sz="4" w:space="0" w:color="003F6C"/>
              <w:bottom w:val="single" w:sz="4" w:space="0" w:color="005693"/>
              <w:right w:val="single" w:sz="4" w:space="0" w:color="003F6C"/>
            </w:tcBorders>
            <w:shd w:val="clear" w:color="auto" w:fill="003F6C"/>
          </w:tcPr>
          <w:p w14:paraId="29F92023" w14:textId="77777777" w:rsidR="00242F0F" w:rsidRPr="00CA51BD" w:rsidRDefault="00000000">
            <w:pPr>
              <w:pBdr>
                <w:top w:val="nil"/>
                <w:left w:val="nil"/>
                <w:bottom w:val="nil"/>
                <w:right w:val="nil"/>
                <w:between w:val="nil"/>
              </w:pBd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Indicador de éxito</w:t>
            </w:r>
          </w:p>
        </w:tc>
      </w:tr>
      <w:tr w:rsidR="00242F0F" w:rsidRPr="00CA51BD" w14:paraId="5EB4F901" w14:textId="77777777">
        <w:tc>
          <w:tcPr>
            <w:tcW w:w="8870" w:type="dxa"/>
            <w:gridSpan w:val="2"/>
            <w:tcBorders>
              <w:top w:val="single" w:sz="4" w:space="0" w:color="005693"/>
              <w:left w:val="single" w:sz="4" w:space="0" w:color="005693"/>
              <w:bottom w:val="single" w:sz="4" w:space="0" w:color="005693"/>
              <w:right w:val="single" w:sz="4" w:space="0" w:color="005693"/>
            </w:tcBorders>
            <w:shd w:val="clear" w:color="auto" w:fill="005693"/>
          </w:tcPr>
          <w:p w14:paraId="5D1DE3B2" w14:textId="77777777" w:rsidR="00242F0F" w:rsidRPr="00CA51BD" w:rsidRDefault="00000000">
            <w:pPr>
              <w:pBdr>
                <w:top w:val="nil"/>
                <w:left w:val="nil"/>
                <w:bottom w:val="nil"/>
                <w:right w:val="nil"/>
                <w:between w:val="nil"/>
              </w:pBdr>
              <w:spacing w:after="0" w:line="240" w:lineRule="auto"/>
              <w:ind w:hanging="2"/>
              <w:rPr>
                <w:rFonts w:asciiTheme="majorHAnsi" w:hAnsiTheme="majorHAnsi" w:cstheme="majorHAnsi"/>
                <w:b/>
                <w:color w:val="FFFFFF"/>
              </w:rPr>
            </w:pPr>
            <w:r w:rsidRPr="00CA51BD">
              <w:rPr>
                <w:rFonts w:asciiTheme="majorHAnsi" w:hAnsiTheme="majorHAnsi" w:cstheme="majorHAnsi"/>
                <w:b/>
                <w:color w:val="FFFFFF"/>
                <w:sz w:val="16"/>
              </w:rPr>
              <w:t>Alcance</w:t>
            </w:r>
          </w:p>
        </w:tc>
      </w:tr>
      <w:tr w:rsidR="00242F0F" w:rsidRPr="00CA51BD" w14:paraId="4D332AF4" w14:textId="77777777">
        <w:tc>
          <w:tcPr>
            <w:tcW w:w="5812" w:type="dxa"/>
            <w:tcBorders>
              <w:top w:val="single" w:sz="4" w:space="0" w:color="005693"/>
              <w:left w:val="single" w:sz="4" w:space="0" w:color="666666"/>
              <w:bottom w:val="single" w:sz="4" w:space="0" w:color="666666"/>
              <w:right w:val="single" w:sz="4" w:space="0" w:color="666666"/>
            </w:tcBorders>
          </w:tcPr>
          <w:p w14:paraId="5FC1974B"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Implementaremos una plataforma Marketplace web funcional a partir del MVP existente, migrando la interfaz a Vue.js + Vite y la persistencia a PostgreSQL en Supabase, utilizando Supabase Auth y PostgREST y manteniendo FastAPI solo donde se requiera logica adicional.</w:t>
            </w:r>
          </w:p>
        </w:tc>
        <w:tc>
          <w:tcPr>
            <w:tcW w:w="3058" w:type="dxa"/>
            <w:tcBorders>
              <w:top w:val="single" w:sz="4" w:space="0" w:color="005693"/>
              <w:left w:val="single" w:sz="4" w:space="0" w:color="666666"/>
              <w:bottom w:val="single" w:sz="4" w:space="0" w:color="666666"/>
              <w:right w:val="single" w:sz="4" w:space="0" w:color="666666"/>
            </w:tcBorders>
          </w:tcPr>
          <w:p w14:paraId="20D602B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Podremos ejecutar los modulos principales con persistencia remota y comunicacion entre las capas definidas, sin depender de datos locales del dispositivo.</w:t>
            </w:r>
          </w:p>
        </w:tc>
      </w:tr>
      <w:tr w:rsidR="00242F0F" w:rsidRPr="00CA51BD" w14:paraId="20A09094" w14:textId="77777777">
        <w:tc>
          <w:tcPr>
            <w:tcW w:w="5812" w:type="dxa"/>
            <w:tcBorders>
              <w:top w:val="single" w:sz="4" w:space="0" w:color="666666"/>
              <w:left w:val="single" w:sz="4" w:space="0" w:color="666666"/>
              <w:bottom w:val="single" w:sz="4" w:space="0" w:color="666666"/>
              <w:right w:val="single" w:sz="4" w:space="0" w:color="666666"/>
            </w:tcBorders>
          </w:tcPr>
          <w:p w14:paraId="3F03B1E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Incorporaremos los flujos finales de compra, venta y administracion: registro y aprobacion de productores, perfiles, catalogo, carrito, compra, restriccion por region, Webpay Mall (Split Payment), liquidacion directa por pasarela, reembolso, delivery con codigo de verificacion, calificacion 1 a 5, sanciones manuales, moderacion y correos de negocio.</w:t>
            </w:r>
          </w:p>
        </w:tc>
        <w:tc>
          <w:tcPr>
            <w:tcW w:w="3058" w:type="dxa"/>
            <w:tcBorders>
              <w:top w:val="single" w:sz="4" w:space="0" w:color="666666"/>
              <w:left w:val="single" w:sz="4" w:space="0" w:color="666666"/>
              <w:bottom w:val="single" w:sz="4" w:space="0" w:color="666666"/>
              <w:right w:val="single" w:sz="4" w:space="0" w:color="666666"/>
            </w:tcBorders>
          </w:tcPr>
          <w:p w14:paraId="0BCBB30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Podremos recorrer los flujos criticos de principio a fin y cada regla incluida tendra una prueba o evidencia que permita comprobar su resultado.</w:t>
            </w:r>
          </w:p>
        </w:tc>
      </w:tr>
      <w:tr w:rsidR="00242F0F" w:rsidRPr="00CA51BD" w14:paraId="39C9C824" w14:textId="77777777">
        <w:tc>
          <w:tcPr>
            <w:tcW w:w="5812" w:type="dxa"/>
            <w:tcBorders>
              <w:top w:val="single" w:sz="4" w:space="0" w:color="666666"/>
              <w:left w:val="single" w:sz="4" w:space="0" w:color="666666"/>
              <w:bottom w:val="single" w:sz="4" w:space="0" w:color="005693"/>
              <w:right w:val="single" w:sz="4" w:space="0" w:color="666666"/>
            </w:tcBorders>
          </w:tcPr>
          <w:p w14:paraId="4AD7409A"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Mantendremos el alcance controlado durante las 13 semanas y documentaremos cualquier cambio antes de incorporarlo.</w:t>
            </w:r>
          </w:p>
        </w:tc>
        <w:tc>
          <w:tcPr>
            <w:tcW w:w="3058" w:type="dxa"/>
            <w:tcBorders>
              <w:top w:val="single" w:sz="4" w:space="0" w:color="666666"/>
              <w:left w:val="single" w:sz="4" w:space="0" w:color="666666"/>
              <w:bottom w:val="single" w:sz="4" w:space="0" w:color="005693"/>
              <w:right w:val="single" w:sz="4" w:space="0" w:color="666666"/>
            </w:tcBorders>
          </w:tcPr>
          <w:p w14:paraId="3ED62EAF"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Registraremos avances, bloqueos, riesgos y decisiones cada semana, y evaluaremos cualquier solicitud nueva por su impacto en tiempo, dependencias, pruebas, riesgo y valor para el usuario.</w:t>
            </w:r>
          </w:p>
        </w:tc>
      </w:tr>
      <w:tr w:rsidR="00242F0F" w:rsidRPr="00CA51BD" w14:paraId="345FEAF6" w14:textId="77777777">
        <w:tc>
          <w:tcPr>
            <w:tcW w:w="8870" w:type="dxa"/>
            <w:gridSpan w:val="2"/>
            <w:tcBorders>
              <w:top w:val="single" w:sz="4" w:space="0" w:color="005693"/>
              <w:left w:val="single" w:sz="4" w:space="0" w:color="005693"/>
              <w:bottom w:val="single" w:sz="4" w:space="0" w:color="005693"/>
              <w:right w:val="single" w:sz="4" w:space="0" w:color="005693"/>
            </w:tcBorders>
            <w:shd w:val="clear" w:color="auto" w:fill="005693"/>
          </w:tcPr>
          <w:p w14:paraId="0D0FDB62" w14:textId="77777777" w:rsidR="00242F0F" w:rsidRPr="00CA51BD" w:rsidRDefault="00000000">
            <w:pPr>
              <w:pBdr>
                <w:top w:val="nil"/>
                <w:left w:val="nil"/>
                <w:bottom w:val="nil"/>
                <w:right w:val="nil"/>
                <w:between w:val="nil"/>
              </w:pBdr>
              <w:spacing w:after="0" w:line="240" w:lineRule="auto"/>
              <w:ind w:hanging="2"/>
              <w:rPr>
                <w:rFonts w:asciiTheme="majorHAnsi" w:hAnsiTheme="majorHAnsi" w:cstheme="majorHAnsi"/>
                <w:b/>
                <w:color w:val="FFFFFF"/>
              </w:rPr>
            </w:pPr>
            <w:r w:rsidRPr="00CA51BD">
              <w:rPr>
                <w:rFonts w:asciiTheme="majorHAnsi" w:hAnsiTheme="majorHAnsi" w:cstheme="majorHAnsi"/>
                <w:b/>
                <w:color w:val="FFFFFF"/>
                <w:sz w:val="16"/>
              </w:rPr>
              <w:t>Cronograma (Tiempo)</w:t>
            </w:r>
          </w:p>
        </w:tc>
      </w:tr>
      <w:tr w:rsidR="00242F0F" w:rsidRPr="00CA51BD" w14:paraId="0E56D2BB" w14:textId="77777777">
        <w:tc>
          <w:tcPr>
            <w:tcW w:w="5812" w:type="dxa"/>
            <w:tcBorders>
              <w:top w:val="single" w:sz="4" w:space="0" w:color="005693"/>
              <w:left w:val="single" w:sz="4" w:space="0" w:color="666666"/>
              <w:bottom w:val="single" w:sz="4" w:space="0" w:color="666666"/>
              <w:right w:val="single" w:sz="4" w:space="0" w:color="666666"/>
            </w:tcBorders>
          </w:tcPr>
          <w:p w14:paraId="5EC5A73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Comenzaremos el proyecto en la Semana 1, el 11 de septiembre, terminaremos la fase de desarrollo en la Semana 11 y reservaremos las Semanas 12 y 13 para preparacion, validacion final y entrega.</w:t>
            </w:r>
          </w:p>
        </w:tc>
        <w:tc>
          <w:tcPr>
            <w:tcW w:w="3058" w:type="dxa"/>
            <w:tcBorders>
              <w:top w:val="single" w:sz="4" w:space="0" w:color="005693"/>
              <w:left w:val="single" w:sz="4" w:space="0" w:color="666666"/>
              <w:bottom w:val="single" w:sz="4" w:space="0" w:color="666666"/>
              <w:right w:val="single" w:sz="4" w:space="0" w:color="666666"/>
            </w:tcBorders>
          </w:tcPr>
          <w:p w14:paraId="5FAD16F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Cerraremos la construccion e integracion al terminar la Semana 11 y utilizaremos las dos semanas finales para regresion, correcciones, consolidacion documental y entrega.</w:t>
            </w:r>
          </w:p>
        </w:tc>
      </w:tr>
      <w:tr w:rsidR="00242F0F" w:rsidRPr="00CA51BD" w14:paraId="45929D86" w14:textId="77777777">
        <w:tc>
          <w:tcPr>
            <w:tcW w:w="5812" w:type="dxa"/>
            <w:tcBorders>
              <w:top w:val="single" w:sz="4" w:space="0" w:color="666666"/>
              <w:left w:val="single" w:sz="4" w:space="0" w:color="666666"/>
              <w:bottom w:val="single" w:sz="4" w:space="0" w:color="666666"/>
              <w:right w:val="single" w:sz="4" w:space="0" w:color="666666"/>
            </w:tcBorders>
          </w:tcPr>
          <w:p w14:paraId="33DF10F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Organizaremos el trabajo en cuatro fases: Planificacion Inicial; Analisis y Diseno; Construccion; Implementacion y Cierre.</w:t>
            </w:r>
          </w:p>
        </w:tc>
        <w:tc>
          <w:tcPr>
            <w:tcW w:w="3058" w:type="dxa"/>
            <w:tcBorders>
              <w:top w:val="single" w:sz="4" w:space="0" w:color="666666"/>
              <w:left w:val="single" w:sz="4" w:space="0" w:color="666666"/>
              <w:bottom w:val="single" w:sz="4" w:space="0" w:color="666666"/>
              <w:right w:val="single" w:sz="4" w:space="0" w:color="666666"/>
            </w:tcBorders>
          </w:tcPr>
          <w:p w14:paraId="0F9AED6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 xml:space="preserve">Cada fase tendra sus entregables definidos y evidencia de ejecucion, manteniendo </w:t>
            </w:r>
            <w:r w:rsidRPr="00CA51BD">
              <w:rPr>
                <w:rFonts w:asciiTheme="majorHAnsi" w:hAnsiTheme="majorHAnsi" w:cstheme="majorHAnsi"/>
                <w:sz w:val="16"/>
              </w:rPr>
              <w:lastRenderedPageBreak/>
              <w:t>trazabilidad entre los documentos y el producto final.</w:t>
            </w:r>
          </w:p>
        </w:tc>
      </w:tr>
      <w:tr w:rsidR="00242F0F" w:rsidRPr="00CA51BD" w14:paraId="53FE8747" w14:textId="77777777">
        <w:tc>
          <w:tcPr>
            <w:tcW w:w="5812" w:type="dxa"/>
            <w:tcBorders>
              <w:top w:val="single" w:sz="4" w:space="0" w:color="666666"/>
              <w:left w:val="single" w:sz="4" w:space="0" w:color="666666"/>
              <w:bottom w:val="single" w:sz="4" w:space="0" w:color="005693"/>
              <w:right w:val="single" w:sz="4" w:space="0" w:color="666666"/>
            </w:tcBorders>
          </w:tcPr>
          <w:p w14:paraId="24B2095B"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lastRenderedPageBreak/>
              <w:t>Realizaremos una revision semanal del estado del proyecto.</w:t>
            </w:r>
          </w:p>
        </w:tc>
        <w:tc>
          <w:tcPr>
            <w:tcW w:w="3058" w:type="dxa"/>
            <w:tcBorders>
              <w:top w:val="single" w:sz="4" w:space="0" w:color="666666"/>
              <w:left w:val="single" w:sz="4" w:space="0" w:color="666666"/>
              <w:bottom w:val="single" w:sz="4" w:space="0" w:color="005693"/>
              <w:right w:val="single" w:sz="4" w:space="0" w:color="666666"/>
            </w:tcBorders>
          </w:tcPr>
          <w:p w14:paraId="5D1D9C35"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Cada semana dejaremos registrada la situacion del alcance, avances, bloqueos, riesgos, decisiones y pendientes que puedan afectar la entrega.</w:t>
            </w:r>
          </w:p>
        </w:tc>
      </w:tr>
      <w:tr w:rsidR="00242F0F" w:rsidRPr="00CA51BD" w14:paraId="04DE1F1B" w14:textId="77777777">
        <w:tc>
          <w:tcPr>
            <w:tcW w:w="8870" w:type="dxa"/>
            <w:gridSpan w:val="2"/>
            <w:tcBorders>
              <w:top w:val="single" w:sz="4" w:space="0" w:color="005693"/>
              <w:left w:val="single" w:sz="4" w:space="0" w:color="005693"/>
              <w:bottom w:val="single" w:sz="4" w:space="0" w:color="005693"/>
              <w:right w:val="single" w:sz="4" w:space="0" w:color="005693"/>
            </w:tcBorders>
            <w:shd w:val="clear" w:color="auto" w:fill="005693"/>
          </w:tcPr>
          <w:p w14:paraId="66988974" w14:textId="77777777" w:rsidR="00242F0F" w:rsidRPr="00CA51BD" w:rsidRDefault="00000000">
            <w:pPr>
              <w:pBdr>
                <w:top w:val="nil"/>
                <w:left w:val="nil"/>
                <w:bottom w:val="nil"/>
                <w:right w:val="nil"/>
                <w:between w:val="nil"/>
              </w:pBdr>
              <w:spacing w:after="0" w:line="240" w:lineRule="auto"/>
              <w:ind w:hanging="2"/>
              <w:rPr>
                <w:rFonts w:asciiTheme="majorHAnsi" w:hAnsiTheme="majorHAnsi" w:cstheme="majorHAnsi"/>
                <w:b/>
                <w:color w:val="FFFFFF"/>
              </w:rPr>
            </w:pPr>
            <w:r w:rsidRPr="00CA51BD">
              <w:rPr>
                <w:rFonts w:asciiTheme="majorHAnsi" w:hAnsiTheme="majorHAnsi" w:cstheme="majorHAnsi"/>
                <w:b/>
                <w:color w:val="FFFFFF"/>
                <w:sz w:val="16"/>
              </w:rPr>
              <w:t>Costo</w:t>
            </w:r>
          </w:p>
        </w:tc>
      </w:tr>
      <w:tr w:rsidR="00242F0F" w:rsidRPr="00CA51BD" w14:paraId="1FFE4A04" w14:textId="77777777">
        <w:tc>
          <w:tcPr>
            <w:tcW w:w="5812" w:type="dxa"/>
            <w:tcBorders>
              <w:top w:val="single" w:sz="4" w:space="0" w:color="005693"/>
              <w:left w:val="single" w:sz="4" w:space="0" w:color="666666"/>
              <w:bottom w:val="single" w:sz="4" w:space="0" w:color="666666"/>
              <w:right w:val="single" w:sz="4" w:space="0" w:color="666666"/>
            </w:tcBorders>
          </w:tcPr>
          <w:p w14:paraId="585BFAD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Priorizaremos una infraestructura de bajo costo para el MVP academico, utilizando los niveles gratuitos disponibles y los creditos de GCP para los componentes que lo requieran.</w:t>
            </w:r>
          </w:p>
        </w:tc>
        <w:tc>
          <w:tcPr>
            <w:tcW w:w="3058" w:type="dxa"/>
            <w:tcBorders>
              <w:top w:val="single" w:sz="4" w:space="0" w:color="005693"/>
              <w:left w:val="single" w:sz="4" w:space="0" w:color="666666"/>
              <w:bottom w:val="single" w:sz="4" w:space="0" w:color="666666"/>
              <w:right w:val="single" w:sz="4" w:space="0" w:color="666666"/>
            </w:tcBorders>
          </w:tcPr>
          <w:p w14:paraId="5BB3E8F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La Opcion A mantendra el costo operativo del MVP en el orden estimado de USD 12 al ano por dominio, considerando que los servicios gratuitos y creditos disponibles cubren el resto de la infraestructura academica.</w:t>
            </w:r>
          </w:p>
        </w:tc>
      </w:tr>
      <w:tr w:rsidR="00242F0F" w:rsidRPr="00CA51BD" w14:paraId="5349CED9" w14:textId="77777777">
        <w:tc>
          <w:tcPr>
            <w:tcW w:w="5812" w:type="dxa"/>
            <w:tcBorders>
              <w:top w:val="single" w:sz="4" w:space="0" w:color="666666"/>
              <w:left w:val="single" w:sz="4" w:space="0" w:color="666666"/>
              <w:bottom w:val="single" w:sz="4" w:space="0" w:color="666666"/>
              <w:right w:val="single" w:sz="4" w:space="0" w:color="666666"/>
            </w:tcBorders>
          </w:tcPr>
          <w:p w14:paraId="796A4AF3"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Dejaremos documentada una proyeccion de infraestructura para una etapa productiva y de continuidad del sistema.</w:t>
            </w:r>
          </w:p>
        </w:tc>
        <w:tc>
          <w:tcPr>
            <w:tcW w:w="3058" w:type="dxa"/>
            <w:tcBorders>
              <w:top w:val="single" w:sz="4" w:space="0" w:color="666666"/>
              <w:left w:val="single" w:sz="4" w:space="0" w:color="666666"/>
              <w:bottom w:val="single" w:sz="4" w:space="0" w:color="666666"/>
              <w:right w:val="single" w:sz="4" w:space="0" w:color="666666"/>
            </w:tcBorders>
          </w:tcPr>
          <w:p w14:paraId="7DCA41C3"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La Opcion B quedara como referencia presupuestaria, con un costo estimado de USD 100 a 120 mensuales mas comisiones de transaccion, sin tratarlo como gasto comprometido del MVP.</w:t>
            </w:r>
          </w:p>
        </w:tc>
      </w:tr>
      <w:tr w:rsidR="00242F0F" w:rsidRPr="00CA51BD" w14:paraId="4690583D" w14:textId="77777777">
        <w:tc>
          <w:tcPr>
            <w:tcW w:w="5812" w:type="dxa"/>
            <w:tcBorders>
              <w:top w:val="single" w:sz="4" w:space="0" w:color="666666"/>
              <w:left w:val="single" w:sz="4" w:space="0" w:color="666666"/>
              <w:bottom w:val="single" w:sz="4" w:space="0" w:color="005693"/>
              <w:right w:val="single" w:sz="4" w:space="0" w:color="666666"/>
            </w:tcBorders>
          </w:tcPr>
          <w:p w14:paraId="51914228"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Controlaremos cualquier variacion de costo antes de incorporar servicios que aumenten el gasto.</w:t>
            </w:r>
          </w:p>
        </w:tc>
        <w:tc>
          <w:tcPr>
            <w:tcW w:w="3058" w:type="dxa"/>
            <w:tcBorders>
              <w:top w:val="single" w:sz="4" w:space="0" w:color="666666"/>
              <w:left w:val="single" w:sz="4" w:space="0" w:color="666666"/>
              <w:bottom w:val="single" w:sz="4" w:space="0" w:color="005693"/>
              <w:right w:val="single" w:sz="4" w:space="0" w:color="666666"/>
            </w:tcBorders>
          </w:tcPr>
          <w:p w14:paraId="4CA3E4E1"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Las decisiones con impacto economico se revisaran entre nosotros y no comprometemos infraestructura productiva fuera del presupuesto definido.</w:t>
            </w:r>
          </w:p>
        </w:tc>
      </w:tr>
      <w:tr w:rsidR="00242F0F" w:rsidRPr="00CA51BD" w14:paraId="58A8F18A" w14:textId="77777777">
        <w:tc>
          <w:tcPr>
            <w:tcW w:w="8870" w:type="dxa"/>
            <w:gridSpan w:val="2"/>
            <w:tcBorders>
              <w:top w:val="single" w:sz="4" w:space="0" w:color="005693"/>
              <w:left w:val="single" w:sz="4" w:space="0" w:color="005693"/>
              <w:bottom w:val="single" w:sz="4" w:space="0" w:color="005693"/>
              <w:right w:val="single" w:sz="4" w:space="0" w:color="005693"/>
            </w:tcBorders>
            <w:shd w:val="clear" w:color="auto" w:fill="005693"/>
          </w:tcPr>
          <w:p w14:paraId="2A960776" w14:textId="77777777" w:rsidR="00242F0F" w:rsidRPr="00CA51BD" w:rsidRDefault="00000000">
            <w:pPr>
              <w:pBdr>
                <w:top w:val="nil"/>
                <w:left w:val="nil"/>
                <w:bottom w:val="nil"/>
                <w:right w:val="nil"/>
                <w:between w:val="nil"/>
              </w:pBdr>
              <w:spacing w:after="0" w:line="240" w:lineRule="auto"/>
              <w:ind w:hanging="2"/>
              <w:rPr>
                <w:rFonts w:asciiTheme="majorHAnsi" w:hAnsiTheme="majorHAnsi" w:cstheme="majorHAnsi"/>
                <w:b/>
                <w:color w:val="FFFFFF"/>
              </w:rPr>
            </w:pPr>
            <w:r w:rsidRPr="00CA51BD">
              <w:rPr>
                <w:rFonts w:asciiTheme="majorHAnsi" w:hAnsiTheme="majorHAnsi" w:cstheme="majorHAnsi"/>
                <w:b/>
                <w:color w:val="FFFFFF"/>
                <w:sz w:val="16"/>
              </w:rPr>
              <w:t>Calidad</w:t>
            </w:r>
          </w:p>
        </w:tc>
      </w:tr>
      <w:tr w:rsidR="00242F0F" w:rsidRPr="00CA51BD" w14:paraId="032029AE" w14:textId="77777777">
        <w:tc>
          <w:tcPr>
            <w:tcW w:w="5812" w:type="dxa"/>
            <w:tcBorders>
              <w:top w:val="single" w:sz="4" w:space="0" w:color="005693"/>
              <w:left w:val="single" w:sz="4" w:space="0" w:color="666666"/>
              <w:bottom w:val="single" w:sz="4" w:space="0" w:color="666666"/>
              <w:right w:val="single" w:sz="4" w:space="0" w:color="666666"/>
            </w:tcBorders>
          </w:tcPr>
          <w:p w14:paraId="64471365"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Aplicaremos pruebas unitarias, de integracion y de extremo a extremo sobre los flujos criticos y sobre las reglas que actualizamos al cierre del alcance.</w:t>
            </w:r>
          </w:p>
        </w:tc>
        <w:tc>
          <w:tcPr>
            <w:tcW w:w="3058" w:type="dxa"/>
            <w:tcBorders>
              <w:top w:val="single" w:sz="4" w:space="0" w:color="005693"/>
              <w:left w:val="single" w:sz="4" w:space="0" w:color="666666"/>
              <w:bottom w:val="single" w:sz="4" w:space="0" w:color="666666"/>
              <w:right w:val="single" w:sz="4" w:space="0" w:color="666666"/>
            </w:tcBorders>
          </w:tcPr>
          <w:p w14:paraId="15C008D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Dejaremos evidencia de pruebas sobre autenticacion, roles, compra, Webpay Mall, reembolso, delivery con codigo, calificacion, sanciones, moderacion y comunicaciones.</w:t>
            </w:r>
          </w:p>
        </w:tc>
      </w:tr>
      <w:tr w:rsidR="00242F0F" w:rsidRPr="00CA51BD" w14:paraId="706BD57B" w14:textId="77777777">
        <w:tc>
          <w:tcPr>
            <w:tcW w:w="5812" w:type="dxa"/>
            <w:tcBorders>
              <w:top w:val="single" w:sz="4" w:space="0" w:color="666666"/>
              <w:left w:val="single" w:sz="4" w:space="0" w:color="666666"/>
              <w:bottom w:val="single" w:sz="4" w:space="0" w:color="666666"/>
              <w:right w:val="single" w:sz="4" w:space="0" w:color="666666"/>
            </w:tcBorders>
          </w:tcPr>
          <w:p w14:paraId="03EB983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Protegeremos las credenciales, los datos sensibles y la consistencia de las transacciones.</w:t>
            </w:r>
          </w:p>
        </w:tc>
        <w:tc>
          <w:tcPr>
            <w:tcW w:w="3058" w:type="dxa"/>
            <w:tcBorders>
              <w:top w:val="single" w:sz="4" w:space="0" w:color="666666"/>
              <w:left w:val="single" w:sz="4" w:space="0" w:color="666666"/>
              <w:bottom w:val="single" w:sz="4" w:space="0" w:color="666666"/>
              <w:right w:val="single" w:sz="4" w:space="0" w:color="666666"/>
            </w:tcBorders>
          </w:tcPr>
          <w:p w14:paraId="003AF23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Utilizaremos Supabase Auth, RLS y politicas revisadas, validaciones en frontend y backend, restricciones de base de datos, manejo de errores, secretos fuera del codigo y cifrado para la informacion financiera necesaria para la liquidacion via pasarela.</w:t>
            </w:r>
          </w:p>
        </w:tc>
      </w:tr>
      <w:tr w:rsidR="00242F0F" w:rsidRPr="00CA51BD" w14:paraId="10A61AB9" w14:textId="77777777">
        <w:tc>
          <w:tcPr>
            <w:tcW w:w="5812" w:type="dxa"/>
            <w:tcBorders>
              <w:top w:val="single" w:sz="4" w:space="0" w:color="666666"/>
              <w:left w:val="single" w:sz="4" w:space="0" w:color="666666"/>
              <w:bottom w:val="single" w:sz="4" w:space="0" w:color="005693"/>
              <w:right w:val="single" w:sz="4" w:space="0" w:color="666666"/>
            </w:tcBorders>
          </w:tcPr>
          <w:p w14:paraId="73E9BDA1"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Mantendremos trazabilidad y control de versiones durante todo el desarrollo.</w:t>
            </w:r>
          </w:p>
        </w:tc>
        <w:tc>
          <w:tcPr>
            <w:tcW w:w="3058" w:type="dxa"/>
            <w:tcBorders>
              <w:top w:val="single" w:sz="4" w:space="0" w:color="666666"/>
              <w:left w:val="single" w:sz="4" w:space="0" w:color="666666"/>
              <w:bottom w:val="single" w:sz="4" w:space="0" w:color="005693"/>
              <w:right w:val="single" w:sz="4" w:space="0" w:color="666666"/>
            </w:tcBorders>
          </w:tcPr>
          <w:p w14:paraId="691CCB0A"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Usaremos Git con ramas de trabajo, revision de cambios, documentos actualizados y registros de decisiones para mantener coherencia entre codigo, pruebas y entregables.</w:t>
            </w:r>
          </w:p>
        </w:tc>
      </w:tr>
      <w:tr w:rsidR="00242F0F" w:rsidRPr="00CA51BD" w14:paraId="13D6819A" w14:textId="77777777">
        <w:tc>
          <w:tcPr>
            <w:tcW w:w="8870" w:type="dxa"/>
            <w:gridSpan w:val="2"/>
            <w:tcBorders>
              <w:top w:val="single" w:sz="4" w:space="0" w:color="005693"/>
              <w:left w:val="single" w:sz="4" w:space="0" w:color="005693"/>
              <w:bottom w:val="single" w:sz="4" w:space="0" w:color="005693"/>
              <w:right w:val="single" w:sz="4" w:space="0" w:color="005693"/>
            </w:tcBorders>
            <w:shd w:val="clear" w:color="auto" w:fill="005693"/>
          </w:tcPr>
          <w:p w14:paraId="4F5BE7C0" w14:textId="77777777" w:rsidR="00242F0F" w:rsidRPr="00CA51BD" w:rsidRDefault="00000000">
            <w:pPr>
              <w:pBdr>
                <w:top w:val="nil"/>
                <w:left w:val="nil"/>
                <w:bottom w:val="nil"/>
                <w:right w:val="nil"/>
                <w:between w:val="nil"/>
              </w:pBdr>
              <w:spacing w:after="0" w:line="240" w:lineRule="auto"/>
              <w:ind w:hanging="2"/>
              <w:rPr>
                <w:rFonts w:asciiTheme="majorHAnsi" w:hAnsiTheme="majorHAnsi" w:cstheme="majorHAnsi"/>
                <w:b/>
                <w:color w:val="FFFFFF"/>
              </w:rPr>
            </w:pPr>
            <w:r w:rsidRPr="00CA51BD">
              <w:rPr>
                <w:rFonts w:asciiTheme="majorHAnsi" w:hAnsiTheme="majorHAnsi" w:cstheme="majorHAnsi"/>
                <w:b/>
                <w:color w:val="FFFFFF"/>
                <w:sz w:val="16"/>
              </w:rPr>
              <w:t>Otros</w:t>
            </w:r>
          </w:p>
        </w:tc>
      </w:tr>
      <w:tr w:rsidR="00242F0F" w:rsidRPr="00CA51BD" w14:paraId="18535038" w14:textId="77777777">
        <w:trPr>
          <w:trHeight w:val="300"/>
        </w:trPr>
        <w:tc>
          <w:tcPr>
            <w:tcW w:w="5812" w:type="dxa"/>
            <w:tcBorders>
              <w:top w:val="single" w:sz="4" w:space="0" w:color="005693"/>
              <w:left w:val="single" w:sz="4" w:space="0" w:color="666666"/>
              <w:bottom w:val="single" w:sz="4" w:space="0" w:color="666666"/>
              <w:right w:val="single" w:sz="4" w:space="0" w:color="666666"/>
            </w:tcBorders>
          </w:tcPr>
          <w:p w14:paraId="2736A40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Dividiremos el trabajo principalmente entre backend y frontend, manteniendo compartidas la arquitectura, las pruebas, la documentacion, el control de cambios y la coordinacion.</w:t>
            </w:r>
          </w:p>
        </w:tc>
        <w:tc>
          <w:tcPr>
            <w:tcW w:w="3058" w:type="dxa"/>
            <w:tcBorders>
              <w:top w:val="single" w:sz="4" w:space="0" w:color="005693"/>
              <w:left w:val="single" w:sz="4" w:space="0" w:color="666666"/>
              <w:bottom w:val="single" w:sz="4" w:space="0" w:color="666666"/>
              <w:right w:val="single" w:sz="4" w:space="0" w:color="666666"/>
            </w:tcBorders>
          </w:tcPr>
          <w:p w14:paraId="7640358D"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Repartiremos las responsabilidades principales entre Vicente Rivera en backend/Jefe de Proyecto e Ignacio Fuenzalida en frontend, sin dejar de revisar juntos las decisiones que afectan al proyecto completo.</w:t>
            </w:r>
          </w:p>
        </w:tc>
      </w:tr>
      <w:tr w:rsidR="00242F0F" w:rsidRPr="00CA51BD" w14:paraId="0F1A2E76" w14:textId="77777777">
        <w:tc>
          <w:tcPr>
            <w:tcW w:w="5812" w:type="dxa"/>
            <w:tcBorders>
              <w:top w:val="single" w:sz="4" w:space="0" w:color="666666"/>
              <w:left w:val="single" w:sz="4" w:space="0" w:color="666666"/>
              <w:bottom w:val="single" w:sz="4" w:space="0" w:color="666666"/>
              <w:right w:val="single" w:sz="4" w:space="0" w:color="666666"/>
            </w:tcBorders>
          </w:tcPr>
          <w:p w14:paraId="4F3940B2"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Mantendremos como prioridad la estabilidad de los flujos oficiales antes de agregar nuevas funcionalidades.</w:t>
            </w:r>
          </w:p>
        </w:tc>
        <w:tc>
          <w:tcPr>
            <w:tcW w:w="3058" w:type="dxa"/>
            <w:tcBorders>
              <w:top w:val="single" w:sz="4" w:space="0" w:color="666666"/>
              <w:left w:val="single" w:sz="4" w:space="0" w:color="666666"/>
              <w:bottom w:val="single" w:sz="4" w:space="0" w:color="666666"/>
              <w:right w:val="single" w:sz="4" w:space="0" w:color="666666"/>
            </w:tcBorders>
          </w:tcPr>
          <w:p w14:paraId="6273CA0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Las nuevas solicitudes se evaluaran antes de aceptarlas y las funciones que el alcance final haya descartado no se reincorporaran durante el MVP sin una decision formal.</w:t>
            </w:r>
          </w:p>
        </w:tc>
      </w:tr>
      <w:tr w:rsidR="00242F0F" w:rsidRPr="00CA51BD" w14:paraId="75DECF6E" w14:textId="77777777">
        <w:tc>
          <w:tcPr>
            <w:tcW w:w="5812" w:type="dxa"/>
            <w:tcBorders>
              <w:top w:val="single" w:sz="4" w:space="0" w:color="666666"/>
              <w:left w:val="single" w:sz="4" w:space="0" w:color="666666"/>
              <w:bottom w:val="single" w:sz="4" w:space="0" w:color="666666"/>
              <w:right w:val="single" w:sz="4" w:space="0" w:color="666666"/>
            </w:tcBorders>
          </w:tcPr>
          <w:p w14:paraId="7A75160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Dejaremos preparada la documentacion necesaria para la continuidad y el soporte del sistema.</w:t>
            </w:r>
          </w:p>
        </w:tc>
        <w:tc>
          <w:tcPr>
            <w:tcW w:w="3058" w:type="dxa"/>
            <w:tcBorders>
              <w:top w:val="single" w:sz="4" w:space="0" w:color="666666"/>
              <w:left w:val="single" w:sz="4" w:space="0" w:color="666666"/>
              <w:bottom w:val="single" w:sz="4" w:space="0" w:color="666666"/>
              <w:right w:val="single" w:sz="4" w:space="0" w:color="666666"/>
            </w:tcBorders>
          </w:tcPr>
          <w:p w14:paraId="78DA9DA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Entregaremos manuales, plan de implantacion, soporte y mantenimiento, ademas de la documentacion de arquitectura, configuracion y despliegue.</w:t>
            </w:r>
          </w:p>
        </w:tc>
      </w:tr>
    </w:tbl>
    <w:p w14:paraId="7FC89EFA" w14:textId="77777777" w:rsidR="00242F0F" w:rsidRPr="00CA51BD" w:rsidRDefault="00000000">
      <w:pPr>
        <w:pStyle w:val="Ttulo1"/>
        <w:spacing w:before="280" w:after="280"/>
        <w:ind w:left="1" w:hanging="3"/>
        <w:rPr>
          <w:rFonts w:asciiTheme="majorHAnsi" w:hAnsiTheme="majorHAnsi" w:cstheme="majorHAnsi"/>
          <w:color w:val="005693"/>
        </w:rPr>
      </w:pPr>
      <w:bookmarkStart w:id="10" w:name="_heading=h.xl2bkyyil928" w:colFirst="0" w:colLast="0"/>
      <w:bookmarkEnd w:id="10"/>
      <w:r w:rsidRPr="00CA51BD">
        <w:rPr>
          <w:rFonts w:asciiTheme="majorHAnsi" w:hAnsiTheme="majorHAnsi" w:cstheme="majorHAnsi"/>
          <w:color w:val="005693"/>
        </w:rPr>
        <w:br/>
        <w:t>Riesgos iniciales de alto nivel</w:t>
      </w:r>
    </w:p>
    <w:tbl>
      <w:tblPr>
        <w:tblStyle w:val="af"/>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0"/>
      </w:tblGrid>
      <w:tr w:rsidR="00242F0F" w:rsidRPr="00CA51BD" w14:paraId="4AA79E6A" w14:textId="77777777">
        <w:tc>
          <w:tcPr>
            <w:tcW w:w="8870" w:type="dxa"/>
            <w:tcBorders>
              <w:top w:val="single" w:sz="4" w:space="0" w:color="666666"/>
              <w:left w:val="single" w:sz="4" w:space="0" w:color="666666"/>
              <w:bottom w:val="single" w:sz="4" w:space="0" w:color="666666"/>
              <w:right w:val="single" w:sz="4" w:space="0" w:color="666666"/>
            </w:tcBorders>
          </w:tcPr>
          <w:p w14:paraId="4E87CBF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Identificamos como riesgos iniciales de alto nivel los siguientes:</w:t>
            </w:r>
            <w:r w:rsidRPr="00CA51BD">
              <w:rPr>
                <w:rFonts w:asciiTheme="majorHAnsi" w:hAnsiTheme="majorHAnsi" w:cstheme="majorHAnsi"/>
                <w:sz w:val="16"/>
              </w:rPr>
              <w:br/>
            </w:r>
            <w:r w:rsidRPr="00CA51BD">
              <w:rPr>
                <w:rFonts w:asciiTheme="majorHAnsi" w:hAnsiTheme="majorHAnsi" w:cstheme="majorHAnsi"/>
                <w:sz w:val="16"/>
              </w:rPr>
              <w:br/>
              <w:t xml:space="preserve">- Migracion de SQLite a PostgreSQL: podemos encontrar diferencias de estructura, relaciones o datos. Nosotros mitigaremos este </w:t>
            </w:r>
            <w:r w:rsidRPr="00CA51BD">
              <w:rPr>
                <w:rFonts w:asciiTheme="majorHAnsi" w:hAnsiTheme="majorHAnsi" w:cstheme="majorHAnsi"/>
                <w:sz w:val="16"/>
              </w:rPr>
              <w:lastRenderedPageBreak/>
              <w:t>riesgo revisando el modelo, preparando scripts y validando con datos de prueba antes de cerrar la migracion.</w:t>
            </w:r>
            <w:r w:rsidRPr="00CA51BD">
              <w:rPr>
                <w:rFonts w:asciiTheme="majorHAnsi" w:hAnsiTheme="majorHAnsi" w:cstheme="majorHAnsi"/>
                <w:sz w:val="16"/>
              </w:rPr>
              <w:br/>
              <w:t>- Integracion y consistencia de Webpay: un error de retorno o una transaccion repetida puede generar inconsistencias. Nosotros utilizaremos identificadores unicos, registros de estado, manejo de errores y validaciones antes de confirmar cada operacion.</w:t>
            </w:r>
            <w:r w:rsidRPr="00CA51BD">
              <w:rPr>
                <w:rFonts w:asciiTheme="majorHAnsi" w:hAnsiTheme="majorHAnsi" w:cstheme="majorHAnsi"/>
                <w:sz w:val="16"/>
              </w:rPr>
              <w:br/>
              <w:t>- Liquidacion y reembolsos: como la dispersion del pago la realiza Transbank via Split Payment y deposita directo en la cuenta bancaria del comercio, debemos mantener una trazabilidad clara del pago, la entrega y un eventual reembolso. Nosotros separaremos estos estados en la base de datos y protegeremos la informacion financiera del comercio.</w:t>
            </w:r>
            <w:r w:rsidRPr="00CA51BD">
              <w:rPr>
                <w:rFonts w:asciiTheme="majorHAnsi" w:hAnsiTheme="majorHAnsi" w:cstheme="majorHAnsi"/>
                <w:sz w:val="16"/>
              </w:rPr>
              <w:br/>
              <w:t>- Seguridad de autenticacion: dependeremos de Supabase Auth y RLS para gran parte de la seguridad. Nosotros revisaremos las policies y mantendremos FastAPI solo para el bloqueo de cuenta por cinco intentos fallidos y las validaciones adicionales que sean necesarias.</w:t>
            </w:r>
            <w:r w:rsidRPr="00CA51BD">
              <w:rPr>
                <w:rFonts w:asciiTheme="majorHAnsi" w:hAnsiTheme="majorHAnsi" w:cstheme="majorHAnsi"/>
                <w:sz w:val="16"/>
              </w:rPr>
              <w:br/>
              <w:t>- Dependencias externas: Supabase, Vercel, GCP, Resend y Transbank pueden presentar restricciones o interrupciones. Nosotros mantendremos pruebas por capas y mocks o stubs cuando una dependencia externa impida avanzar.</w:t>
            </w:r>
            <w:r w:rsidRPr="00CA51BD">
              <w:rPr>
                <w:rFonts w:asciiTheme="majorHAnsi" w:hAnsiTheme="majorHAnsi" w:cstheme="majorHAnsi"/>
                <w:sz w:val="16"/>
              </w:rPr>
              <w:br/>
              <w:t>- Validacion regional y delivery: una regla mal aplicada puede permitir compras que no corresponden a la cobertura del proyecto. Nosotros validaremos exclusivamente la region y utilizaremos un codigo de verificacion para respaldar la entrega, sin depender de GPS o mapas en tiempo real.</w:t>
            </w:r>
            <w:r w:rsidRPr="00CA51BD">
              <w:rPr>
                <w:rFonts w:asciiTheme="majorHAnsi" w:hAnsiTheme="majorHAnsi" w:cstheme="majorHAnsi"/>
                <w:sz w:val="16"/>
              </w:rPr>
              <w:br/>
              <w:t>- Alcance excesivo para un equipo de dos personas: una ampliacion no controlada puede comprometer el cronograma. Nosotros revisaremos semanalmente el alcance y mantendremos fuera del MVP las funcionalidades descartadas en la actualizacion final.</w:t>
            </w:r>
          </w:p>
        </w:tc>
      </w:tr>
    </w:tbl>
    <w:p w14:paraId="1B751563" w14:textId="77777777" w:rsidR="00242F0F" w:rsidRPr="00CA51BD" w:rsidRDefault="00000000">
      <w:pPr>
        <w:pStyle w:val="Ttulo1"/>
        <w:spacing w:before="280" w:after="280"/>
        <w:ind w:left="1" w:hanging="3"/>
        <w:rPr>
          <w:rFonts w:asciiTheme="majorHAnsi" w:hAnsiTheme="majorHAnsi" w:cstheme="majorHAnsi"/>
          <w:color w:val="005693"/>
        </w:rPr>
      </w:pPr>
      <w:bookmarkStart w:id="11" w:name="_heading=h.3dy6vkm" w:colFirst="0" w:colLast="0"/>
      <w:bookmarkEnd w:id="11"/>
      <w:r w:rsidRPr="00CA51BD">
        <w:rPr>
          <w:rFonts w:asciiTheme="majorHAnsi" w:hAnsiTheme="majorHAnsi" w:cstheme="majorHAnsi"/>
          <w:color w:val="005693"/>
        </w:rPr>
        <w:lastRenderedPageBreak/>
        <w:br/>
        <w:t>Cronograma de hitos principales</w:t>
      </w:r>
    </w:p>
    <w:tbl>
      <w:tblPr>
        <w:tblStyle w:val="af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63"/>
        <w:gridCol w:w="2207"/>
      </w:tblGrid>
      <w:tr w:rsidR="00242F0F" w:rsidRPr="00CA51BD" w14:paraId="23153C43" w14:textId="77777777">
        <w:tc>
          <w:tcPr>
            <w:tcW w:w="6663" w:type="dxa"/>
            <w:tcBorders>
              <w:top w:val="single" w:sz="4" w:space="0" w:color="003F6C"/>
              <w:left w:val="single" w:sz="4" w:space="0" w:color="003F6C"/>
              <w:bottom w:val="single" w:sz="4" w:space="0" w:color="003F6C"/>
              <w:right w:val="single" w:sz="4" w:space="0" w:color="003F6C"/>
            </w:tcBorders>
            <w:shd w:val="clear" w:color="auto" w:fill="003F6C"/>
          </w:tcPr>
          <w:p w14:paraId="75C23860"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Hito</w:t>
            </w:r>
          </w:p>
        </w:tc>
        <w:tc>
          <w:tcPr>
            <w:tcW w:w="2207" w:type="dxa"/>
            <w:tcBorders>
              <w:top w:val="single" w:sz="4" w:space="0" w:color="003F6C"/>
              <w:left w:val="single" w:sz="4" w:space="0" w:color="003F6C"/>
              <w:bottom w:val="single" w:sz="4" w:space="0" w:color="003F6C"/>
              <w:right w:val="single" w:sz="4" w:space="0" w:color="003F6C"/>
            </w:tcBorders>
            <w:shd w:val="clear" w:color="auto" w:fill="003F6C"/>
          </w:tcPr>
          <w:p w14:paraId="36F9AAAB"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Fecha tope</w:t>
            </w:r>
          </w:p>
        </w:tc>
      </w:tr>
      <w:tr w:rsidR="00242F0F" w:rsidRPr="00CA51BD" w14:paraId="1D62D838" w14:textId="77777777">
        <w:tc>
          <w:tcPr>
            <w:tcW w:w="6663" w:type="dxa"/>
            <w:tcBorders>
              <w:top w:val="single" w:sz="4" w:space="0" w:color="003F6C"/>
              <w:left w:val="single" w:sz="4" w:space="0" w:color="666666"/>
              <w:bottom w:val="single" w:sz="4" w:space="0" w:color="666666"/>
              <w:right w:val="single" w:sz="4" w:space="0" w:color="666666"/>
            </w:tcBorders>
          </w:tcPr>
          <w:p w14:paraId="00B59D87"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Inicio y Planificacion Inicial: Acta, EDT, Hitos, Carta Gantt, RACI, Matriz de Riesgos y Plan de Pruebas Inicial</w:t>
            </w:r>
          </w:p>
        </w:tc>
        <w:tc>
          <w:tcPr>
            <w:tcW w:w="2207" w:type="dxa"/>
            <w:tcBorders>
              <w:top w:val="single" w:sz="4" w:space="0" w:color="003F6C"/>
              <w:left w:val="single" w:sz="4" w:space="0" w:color="666666"/>
              <w:bottom w:val="single" w:sz="4" w:space="0" w:color="666666"/>
              <w:right w:val="single" w:sz="4" w:space="0" w:color="666666"/>
            </w:tcBorders>
          </w:tcPr>
          <w:p w14:paraId="5268E69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Semana 1 - 11 de septiembre</w:t>
            </w:r>
          </w:p>
        </w:tc>
      </w:tr>
      <w:tr w:rsidR="00242F0F" w:rsidRPr="00CA51BD" w14:paraId="5CD40D3B" w14:textId="77777777">
        <w:tc>
          <w:tcPr>
            <w:tcW w:w="6663" w:type="dxa"/>
            <w:tcBorders>
              <w:top w:val="single" w:sz="4" w:space="0" w:color="666666"/>
              <w:left w:val="single" w:sz="4" w:space="0" w:color="666666"/>
              <w:bottom w:val="single" w:sz="4" w:space="0" w:color="666666"/>
              <w:right w:val="single" w:sz="4" w:space="0" w:color="666666"/>
            </w:tcBorders>
          </w:tcPr>
          <w:p w14:paraId="740DA57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Analisis y Diseno: ERS, criterios de aceptacion, modelo de datos, arquitectura, reglas de seguridad, flujo de pagos y mockups</w:t>
            </w:r>
          </w:p>
        </w:tc>
        <w:tc>
          <w:tcPr>
            <w:tcW w:w="2207" w:type="dxa"/>
            <w:tcBorders>
              <w:top w:val="single" w:sz="4" w:space="0" w:color="666666"/>
              <w:left w:val="single" w:sz="4" w:space="0" w:color="666666"/>
              <w:bottom w:val="single" w:sz="4" w:space="0" w:color="666666"/>
              <w:right w:val="single" w:sz="4" w:space="0" w:color="666666"/>
            </w:tcBorders>
          </w:tcPr>
          <w:p w14:paraId="4A91F79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Semanas 2 a 4</w:t>
            </w:r>
          </w:p>
        </w:tc>
      </w:tr>
      <w:tr w:rsidR="00242F0F" w:rsidRPr="00CA51BD" w14:paraId="15022A96" w14:textId="77777777">
        <w:tc>
          <w:tcPr>
            <w:tcW w:w="6663" w:type="dxa"/>
            <w:tcBorders>
              <w:top w:val="single" w:sz="4" w:space="0" w:color="666666"/>
              <w:left w:val="single" w:sz="4" w:space="0" w:color="666666"/>
              <w:bottom w:val="single" w:sz="4" w:space="0" w:color="666666"/>
              <w:right w:val="single" w:sz="4" w:space="0" w:color="666666"/>
            </w:tcBorders>
          </w:tcPr>
          <w:p w14:paraId="4E0C852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Construccion: frontend, persistencia, autenticacion, modulos de Cliente/Vendedor/Administracion e integraciones principales</w:t>
            </w:r>
          </w:p>
        </w:tc>
        <w:tc>
          <w:tcPr>
            <w:tcW w:w="2207" w:type="dxa"/>
            <w:tcBorders>
              <w:top w:val="single" w:sz="4" w:space="0" w:color="666666"/>
              <w:left w:val="single" w:sz="4" w:space="0" w:color="666666"/>
              <w:bottom w:val="single" w:sz="4" w:space="0" w:color="666666"/>
              <w:right w:val="single" w:sz="4" w:space="0" w:color="666666"/>
            </w:tcBorders>
          </w:tcPr>
          <w:p w14:paraId="515DC2A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Semanas 5 a 8</w:t>
            </w:r>
          </w:p>
        </w:tc>
      </w:tr>
      <w:tr w:rsidR="00242F0F" w:rsidRPr="00CA51BD" w14:paraId="45E19339" w14:textId="77777777">
        <w:tc>
          <w:tcPr>
            <w:tcW w:w="6663" w:type="dxa"/>
            <w:tcBorders>
              <w:top w:val="single" w:sz="4" w:space="0" w:color="666666"/>
              <w:left w:val="single" w:sz="4" w:space="0" w:color="666666"/>
              <w:bottom w:val="single" w:sz="4" w:space="0" w:color="666666"/>
              <w:right w:val="single" w:sz="4" w:space="0" w:color="666666"/>
            </w:tcBorders>
          </w:tcPr>
          <w:p w14:paraId="0F2877C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Integracion y validacion: Webpay Mall (Split Payment), reembolsos, delivery con codigo, calificacion, sanciones, correos y pruebas de integracion</w:t>
            </w:r>
          </w:p>
        </w:tc>
        <w:tc>
          <w:tcPr>
            <w:tcW w:w="2207" w:type="dxa"/>
            <w:tcBorders>
              <w:top w:val="single" w:sz="4" w:space="0" w:color="666666"/>
              <w:left w:val="single" w:sz="4" w:space="0" w:color="666666"/>
              <w:bottom w:val="single" w:sz="4" w:space="0" w:color="666666"/>
              <w:right w:val="single" w:sz="4" w:space="0" w:color="666666"/>
            </w:tcBorders>
          </w:tcPr>
          <w:p w14:paraId="1E874151"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Semanas 9 a 10</w:t>
            </w:r>
          </w:p>
        </w:tc>
      </w:tr>
      <w:tr w:rsidR="00242F0F" w:rsidRPr="00CA51BD" w14:paraId="1420EBF2" w14:textId="77777777">
        <w:tc>
          <w:tcPr>
            <w:tcW w:w="6663" w:type="dxa"/>
            <w:tcBorders>
              <w:top w:val="single" w:sz="4" w:space="0" w:color="666666"/>
              <w:left w:val="single" w:sz="4" w:space="0" w:color="666666"/>
              <w:bottom w:val="single" w:sz="4" w:space="0" w:color="666666"/>
              <w:right w:val="single" w:sz="4" w:space="0" w:color="666666"/>
            </w:tcBorders>
          </w:tcPr>
          <w:p w14:paraId="79D9C087"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Cierre de desarrollo, correcciones, regresion y verificacion del alcance actualizado</w:t>
            </w:r>
          </w:p>
        </w:tc>
        <w:tc>
          <w:tcPr>
            <w:tcW w:w="2207" w:type="dxa"/>
            <w:tcBorders>
              <w:top w:val="single" w:sz="4" w:space="0" w:color="666666"/>
              <w:left w:val="single" w:sz="4" w:space="0" w:color="666666"/>
              <w:bottom w:val="single" w:sz="4" w:space="0" w:color="666666"/>
              <w:right w:val="single" w:sz="4" w:space="0" w:color="666666"/>
            </w:tcBorders>
          </w:tcPr>
          <w:p w14:paraId="31BBFE8B"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Semana 11</w:t>
            </w:r>
          </w:p>
        </w:tc>
      </w:tr>
    </w:tbl>
    <w:p w14:paraId="4E086766" w14:textId="77777777" w:rsidR="00242F0F" w:rsidRPr="00CA51BD" w:rsidRDefault="00000000">
      <w:pPr>
        <w:pStyle w:val="Ttulo1"/>
        <w:spacing w:before="280" w:after="280"/>
        <w:ind w:left="1" w:hanging="3"/>
        <w:rPr>
          <w:rFonts w:asciiTheme="majorHAnsi" w:hAnsiTheme="majorHAnsi" w:cstheme="majorHAnsi"/>
          <w:color w:val="003F6C"/>
        </w:rPr>
      </w:pPr>
      <w:bookmarkStart w:id="12" w:name="_heading=h.1t3h5sf" w:colFirst="0" w:colLast="0"/>
      <w:bookmarkEnd w:id="12"/>
      <w:r w:rsidRPr="00CA51BD">
        <w:rPr>
          <w:rFonts w:asciiTheme="majorHAnsi" w:hAnsiTheme="majorHAnsi" w:cstheme="majorHAnsi"/>
          <w:color w:val="003F6C"/>
        </w:rPr>
        <w:t>Presupuesto inicial asignado</w:t>
      </w:r>
    </w:p>
    <w:tbl>
      <w:tblPr>
        <w:tblStyle w:val="af1"/>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0"/>
      </w:tblGrid>
      <w:tr w:rsidR="00242F0F" w:rsidRPr="00CA51BD" w14:paraId="6F040B2C" w14:textId="77777777">
        <w:trPr>
          <w:trHeight w:val="870"/>
        </w:trPr>
        <w:tc>
          <w:tcPr>
            <w:tcW w:w="8870" w:type="dxa"/>
            <w:tcBorders>
              <w:top w:val="single" w:sz="4" w:space="0" w:color="666666"/>
              <w:left w:val="single" w:sz="4" w:space="0" w:color="666666"/>
              <w:bottom w:val="single" w:sz="4" w:space="0" w:color="666666"/>
              <w:right w:val="single" w:sz="4" w:space="0" w:color="666666"/>
            </w:tcBorders>
          </w:tcPr>
          <w:p w14:paraId="33738EA5"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Trabajaremos con la Opcion A para el MVP academico: Vercel Hobby USD 0, Supabase en nivel gratuito, los componentes necesarios de backend en Cloud Run utilizando los creditos GCP disponibles y un dominio estimado en USD 12 al ano. El informe estima un costo operativo aproximado de USD 12 para el MVP, sin considerar los creditos gratuitos ni nuestras horas de trabajo academico.</w:t>
            </w:r>
          </w:p>
          <w:p w14:paraId="73341A91"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El modelo de negocio actualizado contempla una tarifa fija de delivery de 3.500 CLP mas el fee correspondiente, mientras que la suscripcion mensual se deja como evaluacion para una futura Opcion B. En el flujo de pagos no hay custodia ni payouts propios: Webpay Mall (Split Payment) captura y dispersa el pago en tiempo real, y Transbank deposita directo en la cuenta bancaria del comercio. Antes de aprobar al vendedor validamos la cuenta bancaria con el certificado de titularidad bancaria e ingresamos el Codigo de Comercio Mall en el panel de administracion. Tambien dejaremos preparado el manejo de reembolsos post venta.</w:t>
            </w:r>
          </w:p>
          <w:p w14:paraId="30EC2995" w14:textId="77777777" w:rsidR="00AA7A06" w:rsidRPr="00CA51BD" w:rsidRDefault="00000000">
            <w:pPr>
              <w:spacing w:after="0"/>
              <w:rPr>
                <w:rFonts w:asciiTheme="majorHAnsi" w:hAnsiTheme="majorHAnsi" w:cstheme="majorHAnsi"/>
              </w:rPr>
            </w:pPr>
            <w:r w:rsidRPr="00CA51BD">
              <w:rPr>
                <w:rFonts w:asciiTheme="majorHAnsi" w:hAnsiTheme="majorHAnsi" w:cstheme="majorHAnsi"/>
                <w:sz w:val="16"/>
              </w:rPr>
              <w:t>Documentaremos una Opcion B productiva como referencia de continuidad, estimada en USD 100 a 120 mensuales mas comisiones de Webpay. Esta proyeccion no representa un gasto comprometido para el periodo academico.</w:t>
            </w:r>
          </w:p>
        </w:tc>
      </w:tr>
    </w:tbl>
    <w:p w14:paraId="092D9338" w14:textId="77777777" w:rsidR="00242F0F" w:rsidRPr="00CA51BD" w:rsidRDefault="00000000">
      <w:pPr>
        <w:pStyle w:val="Ttulo1"/>
        <w:spacing w:before="280" w:after="280"/>
        <w:ind w:left="1" w:hanging="3"/>
        <w:rPr>
          <w:rFonts w:asciiTheme="majorHAnsi" w:hAnsiTheme="majorHAnsi" w:cstheme="majorHAnsi"/>
          <w:color w:val="003F6C"/>
        </w:rPr>
      </w:pPr>
      <w:r w:rsidRPr="00CA51BD">
        <w:rPr>
          <w:rFonts w:asciiTheme="majorHAnsi" w:hAnsiTheme="majorHAnsi" w:cstheme="majorHAnsi"/>
          <w:b w:val="0"/>
        </w:rPr>
        <w:br/>
      </w:r>
      <w:r w:rsidRPr="00CA51BD">
        <w:rPr>
          <w:rFonts w:asciiTheme="majorHAnsi" w:hAnsiTheme="majorHAnsi" w:cstheme="majorHAnsi"/>
          <w:color w:val="003F6C"/>
        </w:rPr>
        <w:t>Lista de Interesados (</w:t>
      </w:r>
      <w:proofErr w:type="spellStart"/>
      <w:r w:rsidRPr="00CA51BD">
        <w:rPr>
          <w:rFonts w:asciiTheme="majorHAnsi" w:hAnsiTheme="majorHAnsi" w:cstheme="majorHAnsi"/>
          <w:color w:val="003F6C"/>
        </w:rPr>
        <w:t>stakeholders</w:t>
      </w:r>
      <w:proofErr w:type="spellEnd"/>
      <w:r w:rsidRPr="00CA51BD">
        <w:rPr>
          <w:rFonts w:asciiTheme="majorHAnsi" w:hAnsiTheme="majorHAnsi" w:cstheme="majorHAnsi"/>
          <w:color w:val="003F6C"/>
        </w:rPr>
        <w:t>)</w:t>
      </w:r>
    </w:p>
    <w:p w14:paraId="3475851D" w14:textId="77777777" w:rsidR="00242F0F" w:rsidRPr="00CA51BD" w:rsidRDefault="00000000">
      <w:pPr>
        <w:pStyle w:val="Ttulo1"/>
        <w:spacing w:before="280" w:after="280"/>
        <w:ind w:left="1" w:hanging="3"/>
        <w:rPr>
          <w:rFonts w:asciiTheme="majorHAnsi" w:hAnsiTheme="majorHAnsi" w:cstheme="majorHAnsi"/>
          <w:color w:val="003F6C"/>
        </w:rPr>
      </w:pPr>
      <w:r w:rsidRPr="00CA51BD">
        <w:rPr>
          <w:rFonts w:asciiTheme="majorHAnsi" w:hAnsiTheme="majorHAnsi" w:cstheme="majorHAnsi"/>
          <w:sz w:val="16"/>
        </w:rPr>
        <w:t>Contactos autorizados: Vicente Rivera (RUT 21.768.183-9) e Ignacio Fuenzalida (RUT 21.401.354-1). No incorporamos otros nombres personales en el acta.</w:t>
      </w:r>
    </w:p>
    <w:tbl>
      <w:tblPr>
        <w:tblStyle w:val="af2"/>
        <w:tblW w:w="6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2244"/>
        <w:gridCol w:w="2245"/>
      </w:tblGrid>
      <w:tr w:rsidR="00242F0F" w:rsidRPr="00CA51BD" w14:paraId="5A4E0123" w14:textId="77777777">
        <w:tc>
          <w:tcPr>
            <w:tcW w:w="2136" w:type="dxa"/>
            <w:tcBorders>
              <w:top w:val="single" w:sz="4" w:space="0" w:color="003F6C"/>
              <w:left w:val="single" w:sz="4" w:space="0" w:color="003F6C"/>
              <w:bottom w:val="single" w:sz="4" w:space="0" w:color="666666"/>
              <w:right w:val="single" w:sz="4" w:space="0" w:color="003F6C"/>
            </w:tcBorders>
            <w:shd w:val="clear" w:color="auto" w:fill="003F6C"/>
          </w:tcPr>
          <w:p w14:paraId="1B80851A"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Nombre</w:t>
            </w:r>
          </w:p>
        </w:tc>
        <w:tc>
          <w:tcPr>
            <w:tcW w:w="2244" w:type="dxa"/>
            <w:tcBorders>
              <w:top w:val="single" w:sz="4" w:space="0" w:color="003F6C"/>
              <w:left w:val="single" w:sz="4" w:space="0" w:color="003F6C"/>
              <w:bottom w:val="single" w:sz="4" w:space="0" w:color="666666"/>
              <w:right w:val="single" w:sz="4" w:space="0" w:color="003F6C"/>
            </w:tcBorders>
            <w:shd w:val="clear" w:color="auto" w:fill="003F6C"/>
          </w:tcPr>
          <w:p w14:paraId="2C7EE893"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Cargo</w:t>
            </w:r>
          </w:p>
        </w:tc>
        <w:tc>
          <w:tcPr>
            <w:tcW w:w="2245" w:type="dxa"/>
            <w:tcBorders>
              <w:top w:val="single" w:sz="4" w:space="0" w:color="003F6C"/>
              <w:left w:val="single" w:sz="4" w:space="0" w:color="003F6C"/>
              <w:bottom w:val="single" w:sz="4" w:space="0" w:color="666666"/>
              <w:right w:val="single" w:sz="4" w:space="0" w:color="003F6C"/>
            </w:tcBorders>
            <w:shd w:val="clear" w:color="auto" w:fill="003F6C"/>
          </w:tcPr>
          <w:p w14:paraId="1BAD16BD"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Departamento / División</w:t>
            </w:r>
          </w:p>
        </w:tc>
      </w:tr>
      <w:tr w:rsidR="00242F0F" w:rsidRPr="00CA51BD" w14:paraId="1270FD63" w14:textId="77777777">
        <w:tc>
          <w:tcPr>
            <w:tcW w:w="2136" w:type="dxa"/>
            <w:tcBorders>
              <w:top w:val="single" w:sz="4" w:space="0" w:color="666666"/>
              <w:left w:val="single" w:sz="4" w:space="0" w:color="666666"/>
              <w:bottom w:val="single" w:sz="4" w:space="0" w:color="666666"/>
              <w:right w:val="single" w:sz="4" w:space="0" w:color="666666"/>
            </w:tcBorders>
          </w:tcPr>
          <w:p w14:paraId="7D8E898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Vicente Rivera</w:t>
            </w:r>
          </w:p>
        </w:tc>
        <w:tc>
          <w:tcPr>
            <w:tcW w:w="2244" w:type="dxa"/>
            <w:tcBorders>
              <w:top w:val="single" w:sz="4" w:space="0" w:color="666666"/>
              <w:left w:val="single" w:sz="4" w:space="0" w:color="666666"/>
              <w:bottom w:val="single" w:sz="4" w:space="0" w:color="666666"/>
              <w:right w:val="single" w:sz="4" w:space="0" w:color="666666"/>
            </w:tcBorders>
          </w:tcPr>
          <w:p w14:paraId="604017BA"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Lider backend / Jefe de Proyecto</w:t>
            </w:r>
          </w:p>
        </w:tc>
        <w:tc>
          <w:tcPr>
            <w:tcW w:w="2245" w:type="dxa"/>
            <w:tcBorders>
              <w:top w:val="single" w:sz="4" w:space="0" w:color="666666"/>
              <w:left w:val="single" w:sz="4" w:space="0" w:color="666666"/>
              <w:bottom w:val="single" w:sz="4" w:space="0" w:color="666666"/>
              <w:right w:val="single" w:sz="4" w:space="0" w:color="666666"/>
            </w:tcBorders>
          </w:tcPr>
          <w:p w14:paraId="15DB204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Ingenieria en Informatica, Duoc UC Plaza Norte</w:t>
            </w:r>
          </w:p>
        </w:tc>
      </w:tr>
      <w:tr w:rsidR="00242F0F" w:rsidRPr="00CA51BD" w14:paraId="33A6416E" w14:textId="77777777">
        <w:tc>
          <w:tcPr>
            <w:tcW w:w="2136" w:type="dxa"/>
            <w:tcBorders>
              <w:top w:val="single" w:sz="4" w:space="0" w:color="666666"/>
              <w:left w:val="single" w:sz="4" w:space="0" w:color="666666"/>
              <w:bottom w:val="single" w:sz="4" w:space="0" w:color="666666"/>
              <w:right w:val="single" w:sz="4" w:space="0" w:color="666666"/>
            </w:tcBorders>
          </w:tcPr>
          <w:p w14:paraId="13B5730B"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Ignacio Fuenzalida</w:t>
            </w:r>
          </w:p>
        </w:tc>
        <w:tc>
          <w:tcPr>
            <w:tcW w:w="2244" w:type="dxa"/>
            <w:tcBorders>
              <w:top w:val="single" w:sz="4" w:space="0" w:color="666666"/>
              <w:left w:val="single" w:sz="4" w:space="0" w:color="666666"/>
              <w:bottom w:val="single" w:sz="4" w:space="0" w:color="666666"/>
              <w:right w:val="single" w:sz="4" w:space="0" w:color="666666"/>
            </w:tcBorders>
          </w:tcPr>
          <w:p w14:paraId="330B29B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IT frontend</w:t>
            </w:r>
          </w:p>
        </w:tc>
        <w:tc>
          <w:tcPr>
            <w:tcW w:w="2245" w:type="dxa"/>
            <w:tcBorders>
              <w:top w:val="single" w:sz="4" w:space="0" w:color="666666"/>
              <w:left w:val="single" w:sz="4" w:space="0" w:color="666666"/>
              <w:bottom w:val="single" w:sz="4" w:space="0" w:color="666666"/>
              <w:right w:val="single" w:sz="4" w:space="0" w:color="666666"/>
            </w:tcBorders>
          </w:tcPr>
          <w:p w14:paraId="4E4B23B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Ingenieria en Informatica, Duoc UC Plaza Norte</w:t>
            </w:r>
          </w:p>
        </w:tc>
      </w:tr>
      <w:tr w:rsidR="00242F0F" w:rsidRPr="00CA51BD" w14:paraId="2020D710" w14:textId="77777777">
        <w:tc>
          <w:tcPr>
            <w:tcW w:w="2136" w:type="dxa"/>
            <w:tcBorders>
              <w:top w:val="single" w:sz="4" w:space="0" w:color="666666"/>
              <w:left w:val="single" w:sz="4" w:space="0" w:color="666666"/>
              <w:bottom w:val="single" w:sz="4" w:space="0" w:color="666666"/>
              <w:right w:val="single" w:sz="4" w:space="0" w:color="666666"/>
            </w:tcBorders>
          </w:tcPr>
          <w:p w14:paraId="0C28EEE8"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Duoc UC Plaza Norte</w:t>
            </w:r>
          </w:p>
        </w:tc>
        <w:tc>
          <w:tcPr>
            <w:tcW w:w="2244" w:type="dxa"/>
            <w:tcBorders>
              <w:top w:val="single" w:sz="4" w:space="0" w:color="666666"/>
              <w:left w:val="single" w:sz="4" w:space="0" w:color="666666"/>
              <w:bottom w:val="single" w:sz="4" w:space="0" w:color="666666"/>
              <w:right w:val="single" w:sz="4" w:space="0" w:color="666666"/>
            </w:tcBorders>
          </w:tcPr>
          <w:p w14:paraId="1961FADF"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Institucion academica</w:t>
            </w:r>
          </w:p>
        </w:tc>
        <w:tc>
          <w:tcPr>
            <w:tcW w:w="2245" w:type="dxa"/>
            <w:tcBorders>
              <w:top w:val="single" w:sz="4" w:space="0" w:color="666666"/>
              <w:left w:val="single" w:sz="4" w:space="0" w:color="666666"/>
              <w:bottom w:val="single" w:sz="4" w:space="0" w:color="666666"/>
              <w:right w:val="single" w:sz="4" w:space="0" w:color="666666"/>
            </w:tcBorders>
          </w:tcPr>
          <w:p w14:paraId="5EE2068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Ingenieria en Informatica / proyecto Capstone</w:t>
            </w:r>
          </w:p>
        </w:tc>
      </w:tr>
      <w:tr w:rsidR="00242F0F" w:rsidRPr="00CA51BD" w14:paraId="788A3B38" w14:textId="77777777">
        <w:tc>
          <w:tcPr>
            <w:tcW w:w="2136" w:type="dxa"/>
            <w:tcBorders>
              <w:top w:val="single" w:sz="4" w:space="0" w:color="666666"/>
              <w:left w:val="single" w:sz="4" w:space="0" w:color="666666"/>
              <w:bottom w:val="single" w:sz="4" w:space="0" w:color="666666"/>
              <w:right w:val="single" w:sz="4" w:space="0" w:color="666666"/>
            </w:tcBorders>
          </w:tcPr>
          <w:p w14:paraId="26E743E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lastRenderedPageBreak/>
              <w:t>Equipo docente de la asignatura</w:t>
            </w:r>
          </w:p>
        </w:tc>
        <w:tc>
          <w:tcPr>
            <w:tcW w:w="2244" w:type="dxa"/>
            <w:tcBorders>
              <w:top w:val="single" w:sz="4" w:space="0" w:color="666666"/>
              <w:left w:val="single" w:sz="4" w:space="0" w:color="666666"/>
              <w:bottom w:val="single" w:sz="4" w:space="0" w:color="666666"/>
              <w:right w:val="single" w:sz="4" w:space="0" w:color="666666"/>
            </w:tcBorders>
          </w:tcPr>
          <w:p w14:paraId="1123B1A8"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Seguimiento academico</w:t>
            </w:r>
          </w:p>
        </w:tc>
        <w:tc>
          <w:tcPr>
            <w:tcW w:w="2245" w:type="dxa"/>
            <w:tcBorders>
              <w:top w:val="single" w:sz="4" w:space="0" w:color="666666"/>
              <w:left w:val="single" w:sz="4" w:space="0" w:color="666666"/>
              <w:bottom w:val="single" w:sz="4" w:space="0" w:color="666666"/>
              <w:right w:val="single" w:sz="4" w:space="0" w:color="666666"/>
            </w:tcBorders>
          </w:tcPr>
          <w:p w14:paraId="2163463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Capstone / Duoc UC Plaza Norte</w:t>
            </w:r>
          </w:p>
        </w:tc>
      </w:tr>
      <w:tr w:rsidR="00242F0F" w:rsidRPr="00CA51BD" w14:paraId="4E0D375F" w14:textId="77777777">
        <w:tc>
          <w:tcPr>
            <w:tcW w:w="2136" w:type="dxa"/>
            <w:tcBorders>
              <w:top w:val="single" w:sz="4" w:space="0" w:color="666666"/>
              <w:left w:val="single" w:sz="4" w:space="0" w:color="666666"/>
              <w:bottom w:val="single" w:sz="4" w:space="0" w:color="666666"/>
              <w:right w:val="single" w:sz="4" w:space="0" w:color="666666"/>
            </w:tcBorders>
          </w:tcPr>
          <w:p w14:paraId="6A0EC1D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Usuarios objetivo</w:t>
            </w:r>
          </w:p>
        </w:tc>
        <w:tc>
          <w:tcPr>
            <w:tcW w:w="2244" w:type="dxa"/>
            <w:tcBorders>
              <w:top w:val="single" w:sz="4" w:space="0" w:color="666666"/>
              <w:left w:val="single" w:sz="4" w:space="0" w:color="666666"/>
              <w:bottom w:val="single" w:sz="4" w:space="0" w:color="666666"/>
              <w:right w:val="single" w:sz="4" w:space="0" w:color="666666"/>
            </w:tcBorders>
          </w:tcPr>
          <w:p w14:paraId="5330122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Productores, compradores y comercios locales</w:t>
            </w:r>
          </w:p>
        </w:tc>
        <w:tc>
          <w:tcPr>
            <w:tcW w:w="2245" w:type="dxa"/>
            <w:tcBorders>
              <w:top w:val="single" w:sz="4" w:space="0" w:color="666666"/>
              <w:left w:val="single" w:sz="4" w:space="0" w:color="666666"/>
              <w:bottom w:val="single" w:sz="4" w:space="0" w:color="666666"/>
              <w:right w:val="single" w:sz="4" w:space="0" w:color="666666"/>
            </w:tcBorders>
          </w:tcPr>
          <w:p w14:paraId="76344378"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Mercado objetivo de CuTuCo</w:t>
            </w:r>
          </w:p>
        </w:tc>
      </w:tr>
    </w:tbl>
    <w:p w14:paraId="6C121D30" w14:textId="77777777" w:rsidR="00242F0F" w:rsidRPr="00CA51BD" w:rsidRDefault="00000000">
      <w:pPr>
        <w:pStyle w:val="Ttulo1"/>
        <w:spacing w:before="280" w:after="280"/>
        <w:ind w:left="1" w:hanging="3"/>
        <w:rPr>
          <w:rFonts w:asciiTheme="majorHAnsi" w:hAnsiTheme="majorHAnsi" w:cstheme="majorHAnsi"/>
          <w:color w:val="003F6C"/>
        </w:rPr>
      </w:pPr>
      <w:bookmarkStart w:id="13" w:name="_heading=h.2s8eyo1" w:colFirst="0" w:colLast="0"/>
      <w:bookmarkEnd w:id="13"/>
      <w:r w:rsidRPr="00CA51BD">
        <w:rPr>
          <w:rFonts w:asciiTheme="majorHAnsi" w:hAnsiTheme="majorHAnsi" w:cstheme="majorHAnsi"/>
          <w:b w:val="0"/>
        </w:rPr>
        <w:br/>
      </w:r>
      <w:r w:rsidRPr="00CA51BD">
        <w:rPr>
          <w:rFonts w:asciiTheme="majorHAnsi" w:hAnsiTheme="majorHAnsi" w:cstheme="majorHAnsi"/>
          <w:color w:val="003F6C"/>
        </w:rPr>
        <w:t>Asignación del gerente de proyecto y nivel de autoridad</w:t>
      </w:r>
    </w:p>
    <w:p w14:paraId="0DF6A6F0" w14:textId="77777777" w:rsidR="00242F0F" w:rsidRPr="00CA51BD" w:rsidRDefault="00000000">
      <w:pPr>
        <w:pStyle w:val="Ttulo2"/>
        <w:spacing w:before="280" w:after="280"/>
        <w:ind w:hanging="2"/>
        <w:rPr>
          <w:rFonts w:asciiTheme="majorHAnsi" w:hAnsiTheme="majorHAnsi" w:cstheme="majorHAnsi"/>
          <w:color w:val="666666"/>
        </w:rPr>
      </w:pPr>
      <w:r w:rsidRPr="00CA51BD">
        <w:rPr>
          <w:rFonts w:asciiTheme="majorHAnsi" w:hAnsiTheme="majorHAnsi" w:cstheme="majorHAnsi"/>
          <w:color w:val="666666"/>
        </w:rPr>
        <w:t>Gerente de proyecto</w:t>
      </w:r>
    </w:p>
    <w:p w14:paraId="4A6EF943" w14:textId="77777777" w:rsidR="00242F0F" w:rsidRPr="00CA51BD" w:rsidRDefault="00000000">
      <w:pPr>
        <w:pStyle w:val="Ttulo2"/>
        <w:spacing w:before="280" w:after="280"/>
        <w:ind w:hanging="2"/>
        <w:rPr>
          <w:rFonts w:asciiTheme="majorHAnsi" w:hAnsiTheme="majorHAnsi" w:cstheme="majorHAnsi"/>
          <w:color w:val="666666"/>
        </w:rPr>
      </w:pPr>
      <w:r w:rsidRPr="00CA51BD">
        <w:rPr>
          <w:rFonts w:asciiTheme="majorHAnsi" w:hAnsiTheme="majorHAnsi" w:cstheme="majorHAnsi"/>
          <w:sz w:val="16"/>
        </w:rPr>
        <w:t>Contacto autorizado: Vicente Rivera | RUT 21.768.183-9 | Lider backend / Jefe de Proyecto | Ingenieria en Informatica, Duoc UC Plaza Norte</w:t>
      </w:r>
    </w:p>
    <w:tbl>
      <w:tblPr>
        <w:tblStyle w:val="af3"/>
        <w:tblW w:w="66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2244"/>
        <w:gridCol w:w="2245"/>
      </w:tblGrid>
      <w:tr w:rsidR="00242F0F" w:rsidRPr="00CA51BD" w14:paraId="1A407271" w14:textId="77777777">
        <w:tc>
          <w:tcPr>
            <w:tcW w:w="2136" w:type="dxa"/>
            <w:tcBorders>
              <w:top w:val="single" w:sz="4" w:space="0" w:color="003F6C"/>
              <w:left w:val="single" w:sz="4" w:space="0" w:color="003F6C"/>
              <w:bottom w:val="single" w:sz="4" w:space="0" w:color="666666"/>
              <w:right w:val="single" w:sz="4" w:space="0" w:color="003F6C"/>
            </w:tcBorders>
            <w:shd w:val="clear" w:color="auto" w:fill="003F6C"/>
          </w:tcPr>
          <w:p w14:paraId="1E5D6266"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Nombre</w:t>
            </w:r>
          </w:p>
        </w:tc>
        <w:tc>
          <w:tcPr>
            <w:tcW w:w="2244" w:type="dxa"/>
            <w:tcBorders>
              <w:top w:val="single" w:sz="4" w:space="0" w:color="003F6C"/>
              <w:left w:val="single" w:sz="4" w:space="0" w:color="003F6C"/>
              <w:bottom w:val="single" w:sz="4" w:space="0" w:color="666666"/>
              <w:right w:val="single" w:sz="4" w:space="0" w:color="003F6C"/>
            </w:tcBorders>
            <w:shd w:val="clear" w:color="auto" w:fill="003F6C"/>
          </w:tcPr>
          <w:p w14:paraId="7F949B79"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Cargo</w:t>
            </w:r>
          </w:p>
        </w:tc>
        <w:tc>
          <w:tcPr>
            <w:tcW w:w="2245" w:type="dxa"/>
            <w:tcBorders>
              <w:top w:val="single" w:sz="4" w:space="0" w:color="003F6C"/>
              <w:left w:val="single" w:sz="4" w:space="0" w:color="003F6C"/>
              <w:bottom w:val="single" w:sz="4" w:space="0" w:color="666666"/>
              <w:right w:val="single" w:sz="4" w:space="0" w:color="003F6C"/>
            </w:tcBorders>
            <w:shd w:val="clear" w:color="auto" w:fill="003F6C"/>
          </w:tcPr>
          <w:p w14:paraId="031D688C"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Departamento / División</w:t>
            </w:r>
          </w:p>
        </w:tc>
      </w:tr>
      <w:tr w:rsidR="00242F0F" w:rsidRPr="00CA51BD" w14:paraId="6A16C227" w14:textId="77777777">
        <w:tc>
          <w:tcPr>
            <w:tcW w:w="2136" w:type="dxa"/>
            <w:tcBorders>
              <w:top w:val="single" w:sz="4" w:space="0" w:color="666666"/>
              <w:left w:val="single" w:sz="4" w:space="0" w:color="666666"/>
              <w:bottom w:val="single" w:sz="4" w:space="0" w:color="666666"/>
              <w:right w:val="single" w:sz="4" w:space="0" w:color="666666"/>
            </w:tcBorders>
          </w:tcPr>
          <w:p w14:paraId="357319A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Vicente Rivera</w:t>
            </w:r>
          </w:p>
        </w:tc>
        <w:tc>
          <w:tcPr>
            <w:tcW w:w="2244" w:type="dxa"/>
            <w:tcBorders>
              <w:top w:val="single" w:sz="4" w:space="0" w:color="666666"/>
              <w:left w:val="single" w:sz="4" w:space="0" w:color="666666"/>
              <w:bottom w:val="single" w:sz="4" w:space="0" w:color="666666"/>
              <w:right w:val="single" w:sz="4" w:space="0" w:color="666666"/>
            </w:tcBorders>
          </w:tcPr>
          <w:p w14:paraId="1BAB8917"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Lider backend / Jefe de Proyecto</w:t>
            </w:r>
          </w:p>
        </w:tc>
        <w:tc>
          <w:tcPr>
            <w:tcW w:w="2245" w:type="dxa"/>
            <w:tcBorders>
              <w:top w:val="single" w:sz="4" w:space="0" w:color="666666"/>
              <w:left w:val="single" w:sz="4" w:space="0" w:color="666666"/>
              <w:bottom w:val="single" w:sz="4" w:space="0" w:color="666666"/>
              <w:right w:val="single" w:sz="4" w:space="0" w:color="666666"/>
            </w:tcBorders>
          </w:tcPr>
          <w:p w14:paraId="1EB6E90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Ingenieria en Informatica, Duoc UC Plaza Norte</w:t>
            </w:r>
          </w:p>
        </w:tc>
      </w:tr>
    </w:tbl>
    <w:p w14:paraId="062341BD" w14:textId="77777777" w:rsidR="00242F0F" w:rsidRPr="00CA51BD" w:rsidRDefault="00000000">
      <w:pPr>
        <w:pStyle w:val="Ttulo2"/>
        <w:spacing w:before="280" w:after="280"/>
        <w:ind w:hanging="2"/>
        <w:rPr>
          <w:rFonts w:asciiTheme="majorHAnsi" w:hAnsiTheme="majorHAnsi" w:cstheme="majorHAnsi"/>
          <w:color w:val="666666"/>
        </w:rPr>
      </w:pPr>
      <w:bookmarkStart w:id="14" w:name="_heading=h.17dp8vu" w:colFirst="0" w:colLast="0"/>
      <w:bookmarkEnd w:id="14"/>
      <w:r w:rsidRPr="00CA51BD">
        <w:rPr>
          <w:rFonts w:asciiTheme="majorHAnsi" w:hAnsiTheme="majorHAnsi" w:cstheme="majorHAnsi"/>
          <w:b w:val="0"/>
        </w:rPr>
        <w:br/>
      </w:r>
      <w:r w:rsidRPr="00CA51BD">
        <w:rPr>
          <w:rFonts w:asciiTheme="majorHAnsi" w:hAnsiTheme="majorHAnsi" w:cstheme="majorHAnsi"/>
          <w:color w:val="666666"/>
        </w:rPr>
        <w:t>Niveles de autoridad</w:t>
      </w:r>
    </w:p>
    <w:tbl>
      <w:tblPr>
        <w:tblStyle w:val="af4"/>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6"/>
        <w:gridCol w:w="5614"/>
      </w:tblGrid>
      <w:tr w:rsidR="00242F0F" w:rsidRPr="00CA51BD" w14:paraId="09578272" w14:textId="77777777">
        <w:tc>
          <w:tcPr>
            <w:tcW w:w="3256" w:type="dxa"/>
            <w:tcBorders>
              <w:top w:val="single" w:sz="4" w:space="0" w:color="003F6C"/>
              <w:left w:val="single" w:sz="4" w:space="0" w:color="003F6C"/>
              <w:bottom w:val="single" w:sz="4" w:space="0" w:color="003F6C"/>
              <w:right w:val="single" w:sz="4" w:space="0" w:color="003F6C"/>
            </w:tcBorders>
            <w:shd w:val="clear" w:color="auto" w:fill="003F6C"/>
          </w:tcPr>
          <w:p w14:paraId="119DB4E6"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Área de autoridad</w:t>
            </w:r>
          </w:p>
        </w:tc>
        <w:tc>
          <w:tcPr>
            <w:tcW w:w="5614" w:type="dxa"/>
            <w:tcBorders>
              <w:top w:val="single" w:sz="4" w:space="0" w:color="003F6C"/>
              <w:left w:val="single" w:sz="4" w:space="0" w:color="003F6C"/>
              <w:bottom w:val="single" w:sz="4" w:space="0" w:color="666666"/>
              <w:right w:val="single" w:sz="4" w:space="0" w:color="003F6C"/>
            </w:tcBorders>
            <w:shd w:val="clear" w:color="auto" w:fill="003F6C"/>
          </w:tcPr>
          <w:p w14:paraId="6A3188BC"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Descripción del nivel de autoridad</w:t>
            </w:r>
          </w:p>
        </w:tc>
      </w:tr>
      <w:tr w:rsidR="00242F0F" w:rsidRPr="00CA51BD" w14:paraId="3B8FA13C" w14:textId="77777777">
        <w:tc>
          <w:tcPr>
            <w:tcW w:w="3256" w:type="dxa"/>
            <w:tcBorders>
              <w:top w:val="single" w:sz="4" w:space="0" w:color="003F6C"/>
              <w:left w:val="single" w:sz="4" w:space="0" w:color="003F6C"/>
              <w:bottom w:val="single" w:sz="4" w:space="0" w:color="003F6C"/>
              <w:right w:val="single" w:sz="4" w:space="0" w:color="003F6C"/>
            </w:tcBorders>
            <w:shd w:val="clear" w:color="auto" w:fill="005693"/>
          </w:tcPr>
          <w:p w14:paraId="7D340356" w14:textId="77777777" w:rsidR="00242F0F" w:rsidRPr="00CA51BD" w:rsidRDefault="00000000">
            <w:pPr>
              <w:spacing w:after="0" w:line="240" w:lineRule="auto"/>
              <w:rPr>
                <w:rFonts w:asciiTheme="majorHAnsi" w:hAnsiTheme="majorHAnsi" w:cstheme="majorHAnsi"/>
                <w:color w:val="FFFFFF" w:themeColor="background1"/>
              </w:rPr>
            </w:pPr>
            <w:r w:rsidRPr="00CA51BD">
              <w:rPr>
                <w:rFonts w:asciiTheme="majorHAnsi" w:hAnsiTheme="majorHAnsi" w:cstheme="majorHAnsi"/>
                <w:color w:val="FFFFFF" w:themeColor="background1"/>
                <w:sz w:val="15"/>
              </w:rPr>
              <w:t>Decisiones de personal (</w:t>
            </w:r>
            <w:proofErr w:type="spellStart"/>
            <w:r w:rsidRPr="00CA51BD">
              <w:rPr>
                <w:rFonts w:asciiTheme="majorHAnsi" w:hAnsiTheme="majorHAnsi" w:cstheme="majorHAnsi"/>
                <w:color w:val="FFFFFF" w:themeColor="background1"/>
                <w:sz w:val="15"/>
              </w:rPr>
              <w:t>Staffing</w:t>
            </w:r>
            <w:proofErr w:type="spellEnd"/>
            <w:r w:rsidRPr="00CA51BD">
              <w:rPr>
                <w:rFonts w:asciiTheme="majorHAnsi" w:hAnsiTheme="majorHAnsi" w:cstheme="majorHAnsi"/>
                <w:color w:val="FFFFFF" w:themeColor="background1"/>
                <w:sz w:val="15"/>
              </w:rPr>
              <w:t>)</w:t>
            </w:r>
          </w:p>
        </w:tc>
        <w:tc>
          <w:tcPr>
            <w:tcW w:w="5614" w:type="dxa"/>
            <w:tcBorders>
              <w:top w:val="single" w:sz="4" w:space="0" w:color="666666"/>
              <w:left w:val="single" w:sz="4" w:space="0" w:color="003F6C"/>
              <w:bottom w:val="single" w:sz="4" w:space="0" w:color="666666"/>
              <w:right w:val="single" w:sz="4" w:space="0" w:color="666666"/>
            </w:tcBorders>
          </w:tcPr>
          <w:p w14:paraId="4F70F5B9"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No contemplamos contratacion. El equipo esta compuesto por dos personas. Repartiremos el trabajo entre backend y frontend, pero mantendremos compartidas la arquitectura, las pruebas, la documentacion, el control de cambios y la coordinacion.</w:t>
            </w:r>
          </w:p>
        </w:tc>
      </w:tr>
      <w:tr w:rsidR="00242F0F" w:rsidRPr="00CA51BD" w14:paraId="05FFA386" w14:textId="77777777">
        <w:tc>
          <w:tcPr>
            <w:tcW w:w="3256" w:type="dxa"/>
            <w:tcBorders>
              <w:top w:val="single" w:sz="4" w:space="0" w:color="003F6C"/>
              <w:left w:val="single" w:sz="4" w:space="0" w:color="003F6C"/>
              <w:bottom w:val="single" w:sz="4" w:space="0" w:color="003F6C"/>
              <w:right w:val="single" w:sz="4" w:space="0" w:color="003F6C"/>
            </w:tcBorders>
            <w:shd w:val="clear" w:color="auto" w:fill="005693"/>
          </w:tcPr>
          <w:p w14:paraId="10294B46" w14:textId="77777777" w:rsidR="00242F0F" w:rsidRPr="00CA51BD" w:rsidRDefault="00000000">
            <w:pPr>
              <w:spacing w:after="0" w:line="240" w:lineRule="auto"/>
              <w:rPr>
                <w:rFonts w:asciiTheme="majorHAnsi" w:hAnsiTheme="majorHAnsi" w:cstheme="majorHAnsi"/>
                <w:color w:val="FFFFFF" w:themeColor="background1"/>
              </w:rPr>
            </w:pPr>
            <w:r w:rsidRPr="00CA51BD">
              <w:rPr>
                <w:rFonts w:asciiTheme="majorHAnsi" w:hAnsiTheme="majorHAnsi" w:cstheme="majorHAnsi"/>
                <w:color w:val="FFFFFF" w:themeColor="background1"/>
                <w:sz w:val="15"/>
              </w:rPr>
              <w:t>Gestión de presupuesto y de sus variaciones</w:t>
            </w:r>
          </w:p>
        </w:tc>
        <w:tc>
          <w:tcPr>
            <w:tcW w:w="5614" w:type="dxa"/>
            <w:tcBorders>
              <w:top w:val="single" w:sz="4" w:space="0" w:color="666666"/>
              <w:left w:val="single" w:sz="4" w:space="0" w:color="003F6C"/>
              <w:bottom w:val="single" w:sz="4" w:space="0" w:color="666666"/>
              <w:right w:val="single" w:sz="4" w:space="0" w:color="666666"/>
            </w:tcBorders>
          </w:tcPr>
          <w:p w14:paraId="1B39730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Controlaremos los costos dentro del alcance academico. Revisaremos entre ambos cualquier gasto nuevo y no comprometeremos infraestructura productiva que quede fuera del presupuesto o de la planificacion del MVP.</w:t>
            </w:r>
          </w:p>
        </w:tc>
      </w:tr>
      <w:tr w:rsidR="00242F0F" w:rsidRPr="00CA51BD" w14:paraId="3DA2589A" w14:textId="77777777">
        <w:tc>
          <w:tcPr>
            <w:tcW w:w="3256" w:type="dxa"/>
            <w:tcBorders>
              <w:top w:val="single" w:sz="4" w:space="0" w:color="003F6C"/>
              <w:left w:val="single" w:sz="4" w:space="0" w:color="003F6C"/>
              <w:bottom w:val="single" w:sz="4" w:space="0" w:color="003F6C"/>
              <w:right w:val="single" w:sz="4" w:space="0" w:color="003F6C"/>
            </w:tcBorders>
            <w:shd w:val="clear" w:color="auto" w:fill="005693"/>
          </w:tcPr>
          <w:p w14:paraId="3B311170" w14:textId="77777777" w:rsidR="00242F0F" w:rsidRPr="00CA51BD" w:rsidRDefault="00000000">
            <w:pPr>
              <w:spacing w:after="0" w:line="240" w:lineRule="auto"/>
              <w:rPr>
                <w:rFonts w:asciiTheme="majorHAnsi" w:hAnsiTheme="majorHAnsi" w:cstheme="majorHAnsi"/>
                <w:color w:val="FFFFFF" w:themeColor="background1"/>
              </w:rPr>
            </w:pPr>
            <w:r w:rsidRPr="00CA51BD">
              <w:rPr>
                <w:rFonts w:asciiTheme="majorHAnsi" w:hAnsiTheme="majorHAnsi" w:cstheme="majorHAnsi"/>
                <w:color w:val="FFFFFF" w:themeColor="background1"/>
                <w:sz w:val="15"/>
              </w:rPr>
              <w:t>Decisiones técnicas</w:t>
            </w:r>
          </w:p>
        </w:tc>
        <w:tc>
          <w:tcPr>
            <w:tcW w:w="5614" w:type="dxa"/>
            <w:tcBorders>
              <w:top w:val="single" w:sz="4" w:space="0" w:color="666666"/>
              <w:left w:val="single" w:sz="4" w:space="0" w:color="003F6C"/>
              <w:bottom w:val="single" w:sz="4" w:space="0" w:color="666666"/>
              <w:right w:val="single" w:sz="4" w:space="0" w:color="666666"/>
            </w:tcBorders>
          </w:tcPr>
          <w:p w14:paraId="6476D3A5"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Distribuiremos las decisiones tecnicas segun nuestras responsabilidades principales. Las decisiones que afecten autenticacion, RLS, persistencia, Webpay, pagos, seguridad o alcance completo las revisaremos y acordaremos entre ambos.</w:t>
            </w:r>
          </w:p>
        </w:tc>
      </w:tr>
      <w:tr w:rsidR="00242F0F" w:rsidRPr="00CA51BD" w14:paraId="3BC15235" w14:textId="77777777">
        <w:tc>
          <w:tcPr>
            <w:tcW w:w="3256" w:type="dxa"/>
            <w:tcBorders>
              <w:top w:val="single" w:sz="4" w:space="0" w:color="003F6C"/>
              <w:left w:val="single" w:sz="4" w:space="0" w:color="003F6C"/>
              <w:bottom w:val="single" w:sz="4" w:space="0" w:color="003F6C"/>
              <w:right w:val="single" w:sz="4" w:space="0" w:color="003F6C"/>
            </w:tcBorders>
            <w:shd w:val="clear" w:color="auto" w:fill="005693"/>
          </w:tcPr>
          <w:p w14:paraId="182DE8DC" w14:textId="77777777" w:rsidR="00242F0F" w:rsidRPr="00CA51BD" w:rsidRDefault="00000000">
            <w:pPr>
              <w:spacing w:after="0" w:line="240" w:lineRule="auto"/>
              <w:rPr>
                <w:rFonts w:asciiTheme="majorHAnsi" w:hAnsiTheme="majorHAnsi" w:cstheme="majorHAnsi"/>
                <w:color w:val="FFFFFF" w:themeColor="background1"/>
              </w:rPr>
            </w:pPr>
            <w:r w:rsidRPr="00CA51BD">
              <w:rPr>
                <w:rFonts w:asciiTheme="majorHAnsi" w:hAnsiTheme="majorHAnsi" w:cstheme="majorHAnsi"/>
                <w:color w:val="FFFFFF" w:themeColor="background1"/>
                <w:sz w:val="15"/>
              </w:rPr>
              <w:t>Resolución de conflictos</w:t>
            </w:r>
          </w:p>
        </w:tc>
        <w:tc>
          <w:tcPr>
            <w:tcW w:w="5614" w:type="dxa"/>
            <w:tcBorders>
              <w:top w:val="single" w:sz="4" w:space="0" w:color="666666"/>
              <w:left w:val="single" w:sz="4" w:space="0" w:color="003F6C"/>
              <w:bottom w:val="single" w:sz="4" w:space="0" w:color="666666"/>
              <w:right w:val="single" w:sz="4" w:space="0" w:color="666666"/>
            </w:tcBorders>
          </w:tcPr>
          <w:p w14:paraId="344AFC6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Cuando exista una diferencia tecnica o de planificacion, nosotros compararemos alternativas segun impacto en tiempo, riesgo, dependencias, calidad y alcance. Buscaremos una decision conjunta y dejaremos registro cuando la decision sea relevante.</w:t>
            </w:r>
          </w:p>
        </w:tc>
      </w:tr>
      <w:tr w:rsidR="00242F0F" w:rsidRPr="00CA51BD" w14:paraId="44980341" w14:textId="77777777">
        <w:tc>
          <w:tcPr>
            <w:tcW w:w="3256" w:type="dxa"/>
            <w:tcBorders>
              <w:top w:val="single" w:sz="4" w:space="0" w:color="003F6C"/>
              <w:left w:val="single" w:sz="4" w:space="0" w:color="003F6C"/>
              <w:bottom w:val="single" w:sz="4" w:space="0" w:color="003F6C"/>
              <w:right w:val="single" w:sz="4" w:space="0" w:color="003F6C"/>
            </w:tcBorders>
            <w:shd w:val="clear" w:color="auto" w:fill="005693"/>
          </w:tcPr>
          <w:p w14:paraId="027B98D8" w14:textId="77777777" w:rsidR="00242F0F" w:rsidRPr="00CA51BD" w:rsidRDefault="00000000">
            <w:pPr>
              <w:spacing w:after="0" w:line="240" w:lineRule="auto"/>
              <w:rPr>
                <w:rFonts w:asciiTheme="majorHAnsi" w:hAnsiTheme="majorHAnsi" w:cstheme="majorHAnsi"/>
                <w:color w:val="FFFFFF" w:themeColor="background1"/>
              </w:rPr>
            </w:pPr>
            <w:r w:rsidRPr="00CA51BD">
              <w:rPr>
                <w:rFonts w:asciiTheme="majorHAnsi" w:hAnsiTheme="majorHAnsi" w:cstheme="majorHAnsi"/>
                <w:color w:val="FFFFFF" w:themeColor="background1"/>
                <w:sz w:val="15"/>
              </w:rPr>
              <w:t>Ruta de escalamiento y limitaciones de autoridad</w:t>
            </w:r>
          </w:p>
        </w:tc>
        <w:tc>
          <w:tcPr>
            <w:tcW w:w="5614" w:type="dxa"/>
            <w:tcBorders>
              <w:top w:val="single" w:sz="4" w:space="0" w:color="666666"/>
              <w:left w:val="single" w:sz="4" w:space="0" w:color="003F6C"/>
              <w:bottom w:val="single" w:sz="4" w:space="0" w:color="666666"/>
              <w:right w:val="single" w:sz="4" w:space="0" w:color="666666"/>
            </w:tcBorders>
          </w:tcPr>
          <w:p w14:paraId="5AA344EC"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Primero resolveremos los bloqueos dentro del equipo. Si un problema requiere una decision academica o afecta el alcance comprometido, lo elevaremos al responsable academico de la asignatura. No estamos autorizados a asumir compromisos institucionales, gastos relevantes o funciones fuera del alcance sin la aprobacion correspondiente.</w:t>
            </w:r>
          </w:p>
        </w:tc>
      </w:tr>
    </w:tbl>
    <w:p w14:paraId="16C1A637" w14:textId="77777777" w:rsidR="00242F0F" w:rsidRPr="00CA51BD" w:rsidRDefault="00000000">
      <w:pPr>
        <w:pStyle w:val="Ttulo1"/>
        <w:pageBreakBefore/>
        <w:spacing w:before="280" w:after="280"/>
        <w:ind w:left="1" w:hanging="3"/>
        <w:rPr>
          <w:rFonts w:asciiTheme="majorHAnsi" w:hAnsiTheme="majorHAnsi" w:cstheme="majorHAnsi"/>
          <w:color w:val="003F6C"/>
        </w:rPr>
      </w:pPr>
      <w:bookmarkStart w:id="15" w:name="_heading=h.1s8heyk2poe1" w:colFirst="0" w:colLast="0"/>
      <w:bookmarkEnd w:id="15"/>
      <w:r w:rsidRPr="00CA51BD">
        <w:rPr>
          <w:rFonts w:asciiTheme="majorHAnsi" w:hAnsiTheme="majorHAnsi" w:cstheme="majorHAnsi"/>
          <w:color w:val="003F6C"/>
        </w:rPr>
        <w:lastRenderedPageBreak/>
        <w:t xml:space="preserve">Personal y recursos </w:t>
      </w:r>
      <w:proofErr w:type="gramStart"/>
      <w:r w:rsidRPr="00CA51BD">
        <w:rPr>
          <w:rFonts w:asciiTheme="majorHAnsi" w:hAnsiTheme="majorHAnsi" w:cstheme="majorHAnsi"/>
          <w:color w:val="003F6C"/>
        </w:rPr>
        <w:t>pre asignados</w:t>
      </w:r>
      <w:proofErr w:type="gramEnd"/>
    </w:p>
    <w:tbl>
      <w:tblPr>
        <w:tblStyle w:val="af5"/>
        <w:tblW w:w="88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80"/>
        <w:gridCol w:w="4485"/>
      </w:tblGrid>
      <w:tr w:rsidR="00242F0F" w:rsidRPr="00CA51BD" w14:paraId="6711CD8F" w14:textId="77777777">
        <w:tc>
          <w:tcPr>
            <w:tcW w:w="4380" w:type="dxa"/>
            <w:tcBorders>
              <w:top w:val="single" w:sz="4" w:space="0" w:color="003F6C"/>
              <w:left w:val="single" w:sz="4" w:space="0" w:color="003F6C"/>
              <w:bottom w:val="single" w:sz="4" w:space="0" w:color="003F6C"/>
              <w:right w:val="single" w:sz="4" w:space="0" w:color="003F6C"/>
            </w:tcBorders>
            <w:shd w:val="clear" w:color="auto" w:fill="003F6C"/>
          </w:tcPr>
          <w:p w14:paraId="1E12380A"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Recurso</w:t>
            </w:r>
          </w:p>
        </w:tc>
        <w:tc>
          <w:tcPr>
            <w:tcW w:w="4485" w:type="dxa"/>
            <w:tcBorders>
              <w:top w:val="single" w:sz="4" w:space="0" w:color="003F6C"/>
              <w:left w:val="single" w:sz="4" w:space="0" w:color="003F6C"/>
              <w:bottom w:val="single" w:sz="4" w:space="0" w:color="003F6C"/>
              <w:right w:val="single" w:sz="4" w:space="0" w:color="003F6C"/>
            </w:tcBorders>
            <w:shd w:val="clear" w:color="auto" w:fill="003F6C"/>
          </w:tcPr>
          <w:p w14:paraId="3BFCA9FB" w14:textId="77777777" w:rsidR="00242F0F" w:rsidRPr="00CA51BD" w:rsidRDefault="00000000">
            <w:pP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Departamento / División</w:t>
            </w:r>
          </w:p>
        </w:tc>
      </w:tr>
      <w:tr w:rsidR="00242F0F" w:rsidRPr="00CA51BD" w14:paraId="71D4C095" w14:textId="77777777">
        <w:tc>
          <w:tcPr>
            <w:tcW w:w="4380" w:type="dxa"/>
            <w:tcBorders>
              <w:top w:val="single" w:sz="4" w:space="0" w:color="003F6C"/>
              <w:left w:val="single" w:sz="4" w:space="0" w:color="666666"/>
              <w:bottom w:val="single" w:sz="4" w:space="0" w:color="666666"/>
              <w:right w:val="single" w:sz="4" w:space="0" w:color="666666"/>
            </w:tcBorders>
          </w:tcPr>
          <w:p w14:paraId="3107DCD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Repositorio y control de versiones Git/GitHub</w:t>
            </w:r>
          </w:p>
        </w:tc>
        <w:tc>
          <w:tcPr>
            <w:tcW w:w="4485" w:type="dxa"/>
            <w:tcBorders>
              <w:top w:val="single" w:sz="4" w:space="0" w:color="003F6C"/>
              <w:left w:val="single" w:sz="4" w:space="0" w:color="666666"/>
              <w:bottom w:val="single" w:sz="4" w:space="0" w:color="666666"/>
              <w:right w:val="single" w:sz="4" w:space="0" w:color="666666"/>
            </w:tcBorders>
          </w:tcPr>
          <w:p w14:paraId="15AEE6B1"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Equipo de desarrollo / compartido</w:t>
            </w:r>
          </w:p>
        </w:tc>
      </w:tr>
      <w:tr w:rsidR="00242F0F" w:rsidRPr="00CA51BD" w14:paraId="0BD546C4" w14:textId="77777777">
        <w:tc>
          <w:tcPr>
            <w:tcW w:w="4380" w:type="dxa"/>
            <w:tcBorders>
              <w:top w:val="single" w:sz="4" w:space="0" w:color="666666"/>
              <w:left w:val="single" w:sz="4" w:space="0" w:color="666666"/>
              <w:bottom w:val="single" w:sz="4" w:space="0" w:color="666666"/>
              <w:right w:val="single" w:sz="4" w:space="0" w:color="666666"/>
            </w:tcBorders>
          </w:tcPr>
          <w:p w14:paraId="09ECFB62"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Frontend Vue.js + Vite y despliegue Vercel</w:t>
            </w:r>
          </w:p>
        </w:tc>
        <w:tc>
          <w:tcPr>
            <w:tcW w:w="4485" w:type="dxa"/>
            <w:tcBorders>
              <w:top w:val="single" w:sz="4" w:space="0" w:color="666666"/>
              <w:left w:val="single" w:sz="4" w:space="0" w:color="666666"/>
              <w:bottom w:val="single" w:sz="4" w:space="0" w:color="666666"/>
              <w:right w:val="single" w:sz="4" w:space="0" w:color="666666"/>
            </w:tcBorders>
          </w:tcPr>
          <w:p w14:paraId="63749DC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Frontend / Ignacio Fuenzalida</w:t>
            </w:r>
          </w:p>
        </w:tc>
      </w:tr>
      <w:tr w:rsidR="00242F0F" w:rsidRPr="00CA51BD" w14:paraId="6FC8DA96" w14:textId="77777777">
        <w:tc>
          <w:tcPr>
            <w:tcW w:w="4380" w:type="dxa"/>
            <w:tcBorders>
              <w:top w:val="single" w:sz="4" w:space="0" w:color="666666"/>
              <w:left w:val="single" w:sz="4" w:space="0" w:color="666666"/>
              <w:bottom w:val="single" w:sz="4" w:space="0" w:color="666666"/>
              <w:right w:val="single" w:sz="4" w:space="0" w:color="666666"/>
            </w:tcBorders>
          </w:tcPr>
          <w:p w14:paraId="10088986"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FastAPI + Python + Docker + Cloud Run para la logica e integraciones que requieran backend propio</w:t>
            </w:r>
          </w:p>
        </w:tc>
        <w:tc>
          <w:tcPr>
            <w:tcW w:w="4485" w:type="dxa"/>
            <w:tcBorders>
              <w:top w:val="single" w:sz="4" w:space="0" w:color="666666"/>
              <w:left w:val="single" w:sz="4" w:space="0" w:color="666666"/>
              <w:bottom w:val="single" w:sz="4" w:space="0" w:color="666666"/>
              <w:right w:val="single" w:sz="4" w:space="0" w:color="666666"/>
            </w:tcBorders>
          </w:tcPr>
          <w:p w14:paraId="329095A0"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Backend / Vicente Rivera</w:t>
            </w:r>
          </w:p>
        </w:tc>
      </w:tr>
      <w:tr w:rsidR="00242F0F" w:rsidRPr="00CA51BD" w14:paraId="772774CA" w14:textId="77777777">
        <w:tc>
          <w:tcPr>
            <w:tcW w:w="4380" w:type="dxa"/>
            <w:tcBorders>
              <w:top w:val="single" w:sz="4" w:space="0" w:color="666666"/>
              <w:left w:val="single" w:sz="4" w:space="0" w:color="666666"/>
              <w:bottom w:val="single" w:sz="4" w:space="0" w:color="666666"/>
              <w:right w:val="single" w:sz="4" w:space="0" w:color="666666"/>
            </w:tcBorders>
          </w:tcPr>
          <w:p w14:paraId="0776A6E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PostgreSQL en Supabase + Supabase Auth (GoTrue) + PostgREST + RLS</w:t>
            </w:r>
          </w:p>
        </w:tc>
        <w:tc>
          <w:tcPr>
            <w:tcW w:w="4485" w:type="dxa"/>
            <w:tcBorders>
              <w:top w:val="single" w:sz="4" w:space="0" w:color="666666"/>
              <w:left w:val="single" w:sz="4" w:space="0" w:color="666666"/>
              <w:bottom w:val="single" w:sz="4" w:space="0" w:color="666666"/>
              <w:right w:val="single" w:sz="4" w:space="0" w:color="666666"/>
            </w:tcBorders>
          </w:tcPr>
          <w:p w14:paraId="6DEEA471"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Datos y autenticacion / Backend y compartido</w:t>
            </w:r>
          </w:p>
        </w:tc>
      </w:tr>
      <w:tr w:rsidR="00242F0F" w:rsidRPr="00CA51BD" w14:paraId="2317D064" w14:textId="77777777" w:rsidTr="004A35AE">
        <w:trPr>
          <w:trHeight w:val="267"/>
        </w:trPr>
        <w:tc>
          <w:tcPr>
            <w:tcW w:w="4380" w:type="dxa"/>
            <w:tcBorders>
              <w:top w:val="single" w:sz="4" w:space="0" w:color="666666"/>
              <w:left w:val="single" w:sz="4" w:space="0" w:color="666666"/>
              <w:bottom w:val="single" w:sz="4" w:space="0" w:color="666666"/>
              <w:right w:val="single" w:sz="4" w:space="0" w:color="666666"/>
            </w:tcBorders>
          </w:tcPr>
          <w:p w14:paraId="3FB85F65"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Webpay Mall (Transbank, Split Payment) + Resend SMTP/API + manejo seguro de datos bancarios</w:t>
            </w:r>
          </w:p>
        </w:tc>
        <w:tc>
          <w:tcPr>
            <w:tcW w:w="4485" w:type="dxa"/>
            <w:tcBorders>
              <w:top w:val="single" w:sz="4" w:space="0" w:color="666666"/>
              <w:left w:val="single" w:sz="4" w:space="0" w:color="666666"/>
              <w:bottom w:val="single" w:sz="4" w:space="0" w:color="666666"/>
              <w:right w:val="single" w:sz="4" w:space="0" w:color="666666"/>
            </w:tcBorders>
          </w:tcPr>
          <w:p w14:paraId="1F3082D4"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5"/>
              </w:rPr>
              <w:t>Pagos, comunicaciones y seguridad / Backend</w:t>
            </w:r>
          </w:p>
        </w:tc>
      </w:tr>
    </w:tbl>
    <w:p w14:paraId="63A249D8" w14:textId="77777777" w:rsidR="00242F0F" w:rsidRPr="00CA51BD" w:rsidRDefault="00242F0F">
      <w:pPr>
        <w:pStyle w:val="Ttulo1"/>
        <w:spacing w:before="280" w:after="280"/>
        <w:ind w:left="1" w:hanging="3"/>
        <w:rPr>
          <w:rFonts w:asciiTheme="majorHAnsi" w:hAnsiTheme="majorHAnsi" w:cstheme="majorHAnsi"/>
          <w:b w:val="0"/>
        </w:rPr>
      </w:pPr>
      <w:bookmarkStart w:id="16" w:name="_heading=h.26in1rg" w:colFirst="0" w:colLast="0"/>
      <w:bookmarkEnd w:id="16"/>
    </w:p>
    <w:p w14:paraId="63F7C22D" w14:textId="77777777" w:rsidR="00242F0F" w:rsidRPr="00CA51BD" w:rsidRDefault="00000000">
      <w:pPr>
        <w:pStyle w:val="Ttulo1"/>
        <w:spacing w:before="280" w:after="280"/>
        <w:ind w:left="1" w:hanging="3"/>
        <w:rPr>
          <w:rFonts w:asciiTheme="majorHAnsi" w:hAnsiTheme="majorHAnsi" w:cstheme="majorHAnsi"/>
          <w:color w:val="003F6C"/>
        </w:rPr>
      </w:pPr>
      <w:r w:rsidRPr="00CA51BD">
        <w:rPr>
          <w:rFonts w:asciiTheme="majorHAnsi" w:hAnsiTheme="majorHAnsi" w:cstheme="majorHAnsi"/>
          <w:color w:val="003F6C"/>
        </w:rPr>
        <w:t>Aprobaciones</w:t>
      </w:r>
    </w:p>
    <w:tbl>
      <w:tblPr>
        <w:tblStyle w:val="af6"/>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11"/>
        <w:gridCol w:w="1766"/>
        <w:gridCol w:w="2993"/>
      </w:tblGrid>
      <w:tr w:rsidR="00242F0F" w:rsidRPr="00CA51BD" w14:paraId="52F7542E" w14:textId="77777777">
        <w:tc>
          <w:tcPr>
            <w:tcW w:w="4111" w:type="dxa"/>
            <w:tcBorders>
              <w:top w:val="single" w:sz="4" w:space="0" w:color="003F6C"/>
              <w:left w:val="single" w:sz="4" w:space="0" w:color="003F6C"/>
              <w:bottom w:val="single" w:sz="4" w:space="0" w:color="003F6C"/>
              <w:right w:val="single" w:sz="4" w:space="0" w:color="003F6C"/>
            </w:tcBorders>
            <w:shd w:val="clear" w:color="auto" w:fill="003F6C"/>
          </w:tcPr>
          <w:p w14:paraId="32E128F7" w14:textId="77777777" w:rsidR="00242F0F" w:rsidRPr="00CA51BD" w:rsidRDefault="00000000">
            <w:pPr>
              <w:pBdr>
                <w:top w:val="nil"/>
                <w:left w:val="nil"/>
                <w:bottom w:val="nil"/>
                <w:right w:val="nil"/>
                <w:between w:val="nil"/>
              </w:pBd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Patrocinador</w:t>
            </w:r>
          </w:p>
        </w:tc>
        <w:tc>
          <w:tcPr>
            <w:tcW w:w="1766" w:type="dxa"/>
            <w:tcBorders>
              <w:top w:val="single" w:sz="4" w:space="0" w:color="003F6C"/>
              <w:left w:val="single" w:sz="4" w:space="0" w:color="003F6C"/>
              <w:bottom w:val="single" w:sz="4" w:space="0" w:color="003F6C"/>
              <w:right w:val="single" w:sz="4" w:space="0" w:color="003F6C"/>
            </w:tcBorders>
            <w:shd w:val="clear" w:color="auto" w:fill="003F6C"/>
          </w:tcPr>
          <w:p w14:paraId="02ED65CC" w14:textId="77777777" w:rsidR="00242F0F" w:rsidRPr="00CA51BD" w:rsidRDefault="00000000">
            <w:pPr>
              <w:pBdr>
                <w:top w:val="nil"/>
                <w:left w:val="nil"/>
                <w:bottom w:val="nil"/>
                <w:right w:val="nil"/>
                <w:between w:val="nil"/>
              </w:pBd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Fecha</w:t>
            </w:r>
          </w:p>
        </w:tc>
        <w:tc>
          <w:tcPr>
            <w:tcW w:w="2993" w:type="dxa"/>
            <w:tcBorders>
              <w:top w:val="single" w:sz="4" w:space="0" w:color="003F6C"/>
              <w:left w:val="single" w:sz="4" w:space="0" w:color="003F6C"/>
              <w:bottom w:val="single" w:sz="4" w:space="0" w:color="003F6C"/>
              <w:right w:val="single" w:sz="4" w:space="0" w:color="003F6C"/>
            </w:tcBorders>
            <w:shd w:val="clear" w:color="auto" w:fill="003F6C"/>
          </w:tcPr>
          <w:p w14:paraId="68670352" w14:textId="77777777" w:rsidR="00242F0F" w:rsidRPr="00CA51BD" w:rsidRDefault="00000000">
            <w:pPr>
              <w:pBdr>
                <w:top w:val="nil"/>
                <w:left w:val="nil"/>
                <w:bottom w:val="nil"/>
                <w:right w:val="nil"/>
                <w:between w:val="nil"/>
              </w:pBdr>
              <w:spacing w:after="0" w:line="240" w:lineRule="auto"/>
              <w:ind w:hanging="2"/>
              <w:jc w:val="center"/>
              <w:rPr>
                <w:rFonts w:asciiTheme="majorHAnsi" w:hAnsiTheme="majorHAnsi" w:cstheme="majorHAnsi"/>
                <w:b/>
                <w:color w:val="FFFFFF"/>
              </w:rPr>
            </w:pPr>
            <w:r w:rsidRPr="00CA51BD">
              <w:rPr>
                <w:rFonts w:asciiTheme="majorHAnsi" w:hAnsiTheme="majorHAnsi" w:cstheme="majorHAnsi"/>
                <w:b/>
                <w:color w:val="FFFFFF"/>
                <w:sz w:val="16"/>
              </w:rPr>
              <w:t>Firma</w:t>
            </w:r>
          </w:p>
        </w:tc>
      </w:tr>
      <w:tr w:rsidR="00242F0F" w:rsidRPr="00CA51BD" w14:paraId="55E83709" w14:textId="77777777">
        <w:tc>
          <w:tcPr>
            <w:tcW w:w="4111" w:type="dxa"/>
            <w:tcBorders>
              <w:top w:val="single" w:sz="4" w:space="0" w:color="666666"/>
              <w:left w:val="single" w:sz="4" w:space="0" w:color="666666"/>
              <w:bottom w:val="single" w:sz="4" w:space="0" w:color="666666"/>
              <w:right w:val="single" w:sz="4" w:space="0" w:color="666666"/>
            </w:tcBorders>
          </w:tcPr>
          <w:p w14:paraId="47194753"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Vicente Rivera</w:t>
            </w:r>
          </w:p>
        </w:tc>
        <w:tc>
          <w:tcPr>
            <w:tcW w:w="1766" w:type="dxa"/>
            <w:tcBorders>
              <w:top w:val="single" w:sz="4" w:space="0" w:color="666666"/>
              <w:left w:val="single" w:sz="4" w:space="0" w:color="666666"/>
              <w:bottom w:val="single" w:sz="4" w:space="0" w:color="666666"/>
              <w:right w:val="single" w:sz="4" w:space="0" w:color="666666"/>
            </w:tcBorders>
          </w:tcPr>
          <w:p w14:paraId="2FD2131F" w14:textId="1A1A71BD" w:rsidR="00242F0F" w:rsidRPr="00CA51BD" w:rsidRDefault="00CF621B">
            <w:pPr>
              <w:spacing w:after="0" w:line="240" w:lineRule="auto"/>
              <w:rPr>
                <w:rFonts w:asciiTheme="majorHAnsi" w:hAnsiTheme="majorHAnsi" w:cstheme="majorHAnsi"/>
              </w:rPr>
            </w:pPr>
            <w:r w:rsidRPr="00CA51BD">
              <w:rPr>
                <w:rFonts w:asciiTheme="majorHAnsi" w:hAnsiTheme="majorHAnsi" w:cstheme="majorHAnsi"/>
                <w:sz w:val="16"/>
              </w:rPr>
              <w:t>04/10/2026</w:t>
            </w:r>
          </w:p>
        </w:tc>
        <w:tc>
          <w:tcPr>
            <w:tcW w:w="2993" w:type="dxa"/>
            <w:tcBorders>
              <w:top w:val="single" w:sz="4" w:space="0" w:color="666666"/>
              <w:left w:val="single" w:sz="4" w:space="0" w:color="666666"/>
              <w:bottom w:val="single" w:sz="4" w:space="0" w:color="666666"/>
              <w:right w:val="single" w:sz="4" w:space="0" w:color="666666"/>
            </w:tcBorders>
          </w:tcPr>
          <w:p w14:paraId="2934492E" w14:textId="2FA81D47" w:rsidR="00242F0F" w:rsidRPr="00CA51BD" w:rsidRDefault="00CF621B">
            <w:pPr>
              <w:spacing w:after="0" w:line="240" w:lineRule="auto"/>
              <w:rPr>
                <w:rFonts w:asciiTheme="majorHAnsi" w:hAnsiTheme="majorHAnsi" w:cstheme="majorHAnsi"/>
              </w:rPr>
            </w:pPr>
            <w:r w:rsidRPr="00CA51BD">
              <w:rPr>
                <w:rFonts w:asciiTheme="majorHAnsi" w:hAnsiTheme="majorHAnsi" w:cstheme="majorHAnsi"/>
                <w:sz w:val="16"/>
              </w:rPr>
              <w:t>21.768.183-9</w:t>
            </w:r>
          </w:p>
        </w:tc>
      </w:tr>
      <w:tr w:rsidR="00242F0F" w:rsidRPr="00CA51BD" w14:paraId="5354B143" w14:textId="77777777">
        <w:tc>
          <w:tcPr>
            <w:tcW w:w="4111" w:type="dxa"/>
            <w:tcBorders>
              <w:top w:val="single" w:sz="4" w:space="0" w:color="666666"/>
              <w:left w:val="single" w:sz="4" w:space="0" w:color="666666"/>
              <w:bottom w:val="single" w:sz="4" w:space="0" w:color="666666"/>
              <w:right w:val="single" w:sz="4" w:space="0" w:color="666666"/>
            </w:tcBorders>
          </w:tcPr>
          <w:p w14:paraId="48943F7E" w14:textId="77777777" w:rsidR="00242F0F" w:rsidRPr="00CA51BD" w:rsidRDefault="00000000">
            <w:pPr>
              <w:spacing w:after="0" w:line="240" w:lineRule="auto"/>
              <w:rPr>
                <w:rFonts w:asciiTheme="majorHAnsi" w:hAnsiTheme="majorHAnsi" w:cstheme="majorHAnsi"/>
              </w:rPr>
            </w:pPr>
            <w:r w:rsidRPr="00CA51BD">
              <w:rPr>
                <w:rFonts w:asciiTheme="majorHAnsi" w:hAnsiTheme="majorHAnsi" w:cstheme="majorHAnsi"/>
                <w:sz w:val="16"/>
              </w:rPr>
              <w:t>Ignacio Fuenzalida</w:t>
            </w:r>
          </w:p>
        </w:tc>
        <w:tc>
          <w:tcPr>
            <w:tcW w:w="1766" w:type="dxa"/>
            <w:tcBorders>
              <w:top w:val="single" w:sz="4" w:space="0" w:color="666666"/>
              <w:left w:val="single" w:sz="4" w:space="0" w:color="666666"/>
              <w:bottom w:val="single" w:sz="4" w:space="0" w:color="666666"/>
              <w:right w:val="single" w:sz="4" w:space="0" w:color="666666"/>
            </w:tcBorders>
          </w:tcPr>
          <w:p w14:paraId="7A549BD6" w14:textId="581C749D" w:rsidR="00242F0F" w:rsidRPr="00CA51BD" w:rsidRDefault="00CF621B">
            <w:pPr>
              <w:spacing w:after="0" w:line="240" w:lineRule="auto"/>
              <w:rPr>
                <w:rFonts w:asciiTheme="majorHAnsi" w:hAnsiTheme="majorHAnsi" w:cstheme="majorHAnsi"/>
              </w:rPr>
            </w:pPr>
            <w:r w:rsidRPr="00CA51BD">
              <w:rPr>
                <w:rFonts w:asciiTheme="majorHAnsi" w:hAnsiTheme="majorHAnsi" w:cstheme="majorHAnsi"/>
                <w:sz w:val="16"/>
              </w:rPr>
              <w:t>04/10/2026</w:t>
            </w:r>
          </w:p>
        </w:tc>
        <w:tc>
          <w:tcPr>
            <w:tcW w:w="2993" w:type="dxa"/>
            <w:tcBorders>
              <w:top w:val="single" w:sz="4" w:space="0" w:color="666666"/>
              <w:left w:val="single" w:sz="4" w:space="0" w:color="666666"/>
              <w:bottom w:val="single" w:sz="4" w:space="0" w:color="666666"/>
              <w:right w:val="single" w:sz="4" w:space="0" w:color="666666"/>
            </w:tcBorders>
          </w:tcPr>
          <w:p w14:paraId="1AEB637F" w14:textId="6CC84897" w:rsidR="00242F0F" w:rsidRPr="00CA51BD" w:rsidRDefault="00CF621B">
            <w:pPr>
              <w:spacing w:after="0" w:line="240" w:lineRule="auto"/>
              <w:rPr>
                <w:rFonts w:asciiTheme="majorHAnsi" w:hAnsiTheme="majorHAnsi" w:cstheme="majorHAnsi"/>
              </w:rPr>
            </w:pPr>
            <w:r w:rsidRPr="00CA51BD">
              <w:rPr>
                <w:rFonts w:asciiTheme="majorHAnsi" w:hAnsiTheme="majorHAnsi" w:cstheme="majorHAnsi"/>
                <w:sz w:val="16"/>
              </w:rPr>
              <w:t>21.401.354-1</w:t>
            </w:r>
          </w:p>
        </w:tc>
      </w:tr>
    </w:tbl>
    <w:p w14:paraId="73214508" w14:textId="77777777" w:rsidR="00242F0F" w:rsidRPr="00CA51BD" w:rsidRDefault="00242F0F">
      <w:pPr>
        <w:pStyle w:val="Ttulo2"/>
        <w:spacing w:before="280" w:after="280"/>
        <w:ind w:hanging="2"/>
        <w:rPr>
          <w:rFonts w:asciiTheme="majorHAnsi" w:hAnsiTheme="majorHAnsi" w:cstheme="majorHAnsi"/>
          <w:b w:val="0"/>
        </w:rPr>
      </w:pPr>
    </w:p>
    <w:p w14:paraId="5E62411C" w14:textId="77777777" w:rsidR="00242F0F" w:rsidRPr="00CA51BD" w:rsidRDefault="00242F0F">
      <w:pPr>
        <w:pStyle w:val="Ttulo1"/>
        <w:spacing w:before="280"/>
        <w:ind w:left="1" w:hanging="3"/>
        <w:rPr>
          <w:rFonts w:asciiTheme="majorHAnsi" w:hAnsiTheme="majorHAnsi" w:cstheme="majorHAnsi"/>
        </w:rPr>
      </w:pPr>
    </w:p>
    <w:sectPr w:rsidR="00242F0F" w:rsidRPr="00CA51BD">
      <w:headerReference w:type="default" r:id="rId7"/>
      <w:footerReference w:type="default" r:id="rId8"/>
      <w:pgSz w:w="12240" w:h="15840"/>
      <w:pgMar w:top="1440"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28A2" w14:textId="77777777" w:rsidR="001445D3" w:rsidRDefault="001445D3">
      <w:pPr>
        <w:spacing w:after="0" w:line="240" w:lineRule="auto"/>
      </w:pPr>
      <w:r>
        <w:separator/>
      </w:r>
    </w:p>
  </w:endnote>
  <w:endnote w:type="continuationSeparator" w:id="0">
    <w:p w14:paraId="64245FEA" w14:textId="77777777" w:rsidR="001445D3" w:rsidRDefault="00144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3F2CA" w14:textId="77777777" w:rsidR="00242F0F" w:rsidRDefault="00242F0F">
    <w:pPr>
      <w:pBdr>
        <w:top w:val="nil"/>
        <w:left w:val="nil"/>
        <w:bottom w:val="nil"/>
        <w:right w:val="nil"/>
        <w:between w:val="nil"/>
      </w:pBdr>
      <w:tabs>
        <w:tab w:val="center" w:pos="4419"/>
        <w:tab w:val="right" w:pos="8838"/>
      </w:tabs>
      <w:ind w:hanging="2"/>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E5E86" w14:textId="77777777" w:rsidR="001445D3" w:rsidRDefault="001445D3">
      <w:pPr>
        <w:spacing w:after="0" w:line="240" w:lineRule="auto"/>
      </w:pPr>
      <w:r>
        <w:separator/>
      </w:r>
    </w:p>
  </w:footnote>
  <w:footnote w:type="continuationSeparator" w:id="0">
    <w:p w14:paraId="7F59C0AE" w14:textId="77777777" w:rsidR="001445D3" w:rsidRDefault="00144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4D89C" w14:textId="77777777" w:rsidR="00242F0F" w:rsidRDefault="00242F0F">
    <w:pPr>
      <w:pBdr>
        <w:top w:val="nil"/>
        <w:left w:val="nil"/>
        <w:bottom w:val="nil"/>
        <w:right w:val="nil"/>
        <w:between w:val="nil"/>
      </w:pBdr>
      <w:tabs>
        <w:tab w:val="center" w:pos="4419"/>
        <w:tab w:val="right" w:pos="8838"/>
      </w:tabs>
      <w:spacing w:after="0"/>
      <w:ind w:hanging="2"/>
      <w:jc w:val="right"/>
      <w:rPr>
        <w:color w:val="365F9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F0F"/>
    <w:rsid w:val="001445D3"/>
    <w:rsid w:val="001E46DD"/>
    <w:rsid w:val="00242F0F"/>
    <w:rsid w:val="00274CB3"/>
    <w:rsid w:val="0040668F"/>
    <w:rsid w:val="004A35AE"/>
    <w:rsid w:val="00516483"/>
    <w:rsid w:val="00AA7A06"/>
    <w:rsid w:val="00BB55C8"/>
    <w:rsid w:val="00CA51BD"/>
    <w:rsid w:val="00CF62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F5ED"/>
  <w15:docId w15:val="{E1A66F98-DB39-46B9-8C06-DF3C137B9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L"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b/>
      <w:color w:val="365F91"/>
      <w:sz w:val="32"/>
      <w:szCs w:val="32"/>
    </w:rPr>
  </w:style>
  <w:style w:type="paragraph" w:styleId="Ttulo2">
    <w:name w:val="heading 2"/>
    <w:basedOn w:val="Normal"/>
    <w:next w:val="Normal"/>
    <w:uiPriority w:val="9"/>
    <w:unhideWhenUsed/>
    <w:qFormat/>
    <w:pPr>
      <w:spacing w:line="240" w:lineRule="auto"/>
      <w:outlineLvl w:val="1"/>
    </w:pPr>
    <w:rPr>
      <w:b/>
      <w:color w:val="365F91"/>
    </w:rPr>
  </w:style>
  <w:style w:type="paragraph" w:styleId="Ttulo3">
    <w:name w:val="heading 3"/>
    <w:basedOn w:val="Normal"/>
    <w:next w:val="Normal"/>
    <w:uiPriority w:val="9"/>
    <w:semiHidden/>
    <w:unhideWhenUsed/>
    <w:qFormat/>
    <w:pPr>
      <w:keepNext/>
      <w:spacing w:before="240" w:after="60"/>
      <w:outlineLvl w:val="2"/>
    </w:pPr>
    <w:rPr>
      <w:rFonts w:ascii="Cambria" w:eastAsia="Cambria" w:hAnsi="Cambria" w:cs="Cambria"/>
      <w:b/>
      <w:sz w:val="26"/>
      <w:szCs w:val="26"/>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next w:val="TableNormal0"/>
    <w:qFormat/>
    <w:pPr>
      <w:suppressAutoHyphens/>
      <w:spacing w:line="1" w:lineRule="atLeast"/>
      <w:ind w:leftChars="-1" w:left="-1" w:hangingChars="1"/>
      <w:textDirection w:val="btLr"/>
      <w:textAlignment w:val="top"/>
      <w:outlineLvl w:val="0"/>
    </w:pPr>
    <w:rPr>
      <w:position w:val="-1"/>
    </w:rPr>
    <w:tblPr>
      <w:tblInd w:w="0" w:type="dxa"/>
      <w:tblCellMar>
        <w:top w:w="0" w:type="dxa"/>
        <w:left w:w="108" w:type="dxa"/>
        <w:bottom w:w="0" w:type="dxa"/>
        <w:right w:w="108" w:type="dxa"/>
      </w:tblCellMar>
    </w:tbl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Fuerte">
    <w:name w:val="Strong"/>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eNormal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Text">
    <w:name w:val="Comment Text"/>
    <w:basedOn w:val="Normal"/>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Heading1Char">
    <w:name w:val="Heading 1 Char"/>
    <w:rPr>
      <w:rFonts w:ascii="Arial" w:eastAsia="Times New Roman" w:hAnsi="Arial"/>
      <w:b/>
      <w:bCs/>
      <w:color w:val="365F91"/>
      <w:w w:val="100"/>
      <w:kern w:val="36"/>
      <w:position w:val="-1"/>
      <w:sz w:val="32"/>
      <w:szCs w:val="48"/>
      <w:effect w:val="none"/>
      <w:vertAlign w:val="baseline"/>
      <w:cs w:val="0"/>
      <w:em w:val="none"/>
    </w:rPr>
  </w:style>
  <w:style w:type="character" w:customStyle="1" w:styleId="Heading2Char">
    <w:name w:val="Heading 2 Ch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style>
  <w:style w:type="character" w:customStyle="1" w:styleId="HeaderChar">
    <w:name w:val="Header Ch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style>
  <w:style w:type="character" w:customStyle="1" w:styleId="FooterChar">
    <w:name w:val="Footer Char"/>
    <w:rPr>
      <w:w w:val="100"/>
      <w:position w:val="-1"/>
      <w:sz w:val="22"/>
      <w:szCs w:val="22"/>
      <w:effect w:val="none"/>
      <w:vertAlign w:val="baseline"/>
      <w:cs w:val="0"/>
      <w:em w:val="none"/>
      <w:lang w:eastAsia="en-US"/>
    </w:rPr>
  </w:style>
  <w:style w:type="paragraph" w:styleId="TtuloTDC">
    <w:name w:val="TOC Heading"/>
    <w:next w:val="Normal"/>
    <w:qFormat/>
    <w:pPr>
      <w:keepNext/>
      <w:keepLines/>
      <w:spacing w:before="480" w:after="0"/>
    </w:pPr>
    <w:rPr>
      <w:rFonts w:ascii="Cambria" w:hAnsi="Cambria" w:cs="Times New Roman"/>
      <w:sz w:val="28"/>
      <w:szCs w:val="28"/>
    </w:rPr>
  </w:style>
  <w:style w:type="paragraph" w:styleId="TDC1">
    <w:name w:val="toc 1"/>
    <w:basedOn w:val="Normal"/>
    <w:next w:val="Normal"/>
    <w:qFormat/>
  </w:style>
  <w:style w:type="paragraph" w:styleId="TDC2">
    <w:name w:val="toc 2"/>
    <w:basedOn w:val="Normal"/>
    <w:next w:val="Normal"/>
    <w:qFormat/>
    <w:pPr>
      <w:ind w:left="220"/>
    </w:pPr>
  </w:style>
  <w:style w:type="paragraph" w:styleId="TDC3">
    <w:name w:val="toc 3"/>
    <w:basedOn w:val="Normal"/>
    <w:next w:val="Normal"/>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textDirection w:val="btLr"/>
      <w:textAlignment w:val="top"/>
      <w:outlineLvl w:val="0"/>
    </w:pPr>
    <w:rPr>
      <w:position w:val="-1"/>
      <w:szCs w:val="22"/>
      <w:lang w:eastAsia="en-US"/>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cD3MZZXK+EAXuvO+O4RCicKoQw==">CgMxLjAyCGguZ2pkZ3hzMgloLjMwajB6bGwyCWguMWZvYjl0ZTIJaC4zem55c2g3MgloLjJldDkycDAyDmguZ3hwb21ydjdkdmsyMg5oLnhqNW5kYm03OWJhejIOaC5vd3pzcWtsNGhmMnQyDmguaXI2b210MTgzaTJqMg5oLnUyeG53aXIzb3R0ejIOaC54bDJia3l5aWw5MjgyCWguM2R5NnZrbTIJaC4xdDNoNXNmMgloLjJzOGV5bzEyCWguMTdkcDh2dTIOaC4xczhoZXlrMnBvZTEyCWguMjZpbjFyZzgAciExUmtmajhoTDd1MWpaLU1jRVhvc3NoR21EeUI4eFV0a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2720</Words>
  <Characters>14963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Acta de Constitución del Proyecto – CuTuCo</vt:lpstr>
    </vt:vector>
  </TitlesOfParts>
  <Company/>
  <LinksUpToDate>false</LinksUpToDate>
  <CharactersWithSpaces>17648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 – CuTuCo</dc:title>
  <dc:subject>Proyecto CuTuCo / Capstone Duoc UC</dc:subject>
  <dc:creator>Vicente Rivera; Ignacio Fuenzalida</dc:creator>
  <dc:description>Documento completado a partir de la plantilla 1.2.1 y del informe CuTuCo.</dc:description>
  <cp:lastModifiedBy>IGNACIO JAVIER FUENZALIDA CHANDIA</cp:lastModifiedBy>
  <cp:revision>4</cp:revision>
  <dcterms:created xsi:type="dcterms:W3CDTF">2022-05-15T01:17:00Z</dcterms:created>
  <dcterms:modified xsi:type="dcterms:W3CDTF">2026-10-10T15:49:00Z</dcterms:modified>
</cp:coreProperties>
</file>