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0" w:lineRule="auto"/>
        <w:jc w:val="center"/>
        <w:rPr/>
      </w:pPr>
      <w:r w:rsidDel="00000000" w:rsidR="00000000" w:rsidRPr="00000000">
        <w:rPr>
          <w:rtl w:val="0"/>
        </w:rPr>
        <w:t xml:space="preserve">EVALUACIÓN FASE 1</w:t>
        <w:br w:type="textWrapping"/>
        <w:t xml:space="preserve">Formativa Definición Proyecto APT</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PROYECTO: INTELIGENCIA DE MERCADO</w:t>
        <w:br w:type="textWrapping"/>
        <w:t xml:space="preserve">ENCI-INTEL - Continuidad de plataforma</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Equipo de trabajo (2 integrantes)</w:t>
      </w:r>
    </w:p>
    <w:p w:rsidR="00000000" w:rsidDel="00000000" w:rsidP="00000000" w:rsidRDefault="00000000" w:rsidRPr="00000000" w14:paraId="00000009">
      <w:pPr>
        <w:rPr/>
      </w:pPr>
      <w:r w:rsidDel="00000000" w:rsidR="00000000" w:rsidRPr="00000000">
        <w:rPr>
          <w:rtl w:val="0"/>
        </w:rPr>
      </w:r>
    </w:p>
    <w:tbl>
      <w:tblPr>
        <w:tblStyle w:val="Table1"/>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0"/>
        <w:gridCol w:w="2830"/>
        <w:gridCol w:w="3962"/>
        <w:tblGridChange w:id="0">
          <w:tblGrid>
            <w:gridCol w:w="2830"/>
            <w:gridCol w:w="2830"/>
            <w:gridCol w:w="3962"/>
          </w:tblGrid>
        </w:tblGridChange>
      </w:tblGrid>
      <w:tr>
        <w:trPr>
          <w:cantSplit w:val="1"/>
          <w:tblHeader w:val="1"/>
        </w:trPr>
        <w:tc>
          <w:tcPr>
            <w:shd w:fill="d9e1f2"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Integrante</w:t>
            </w:r>
          </w:p>
        </w:tc>
        <w:tc>
          <w:tcPr>
            <w:shd w:fill="d9e1f2" w:val="clear"/>
            <w:vAlign w:val="cente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Rol</w:t>
            </w:r>
          </w:p>
        </w:tc>
        <w:tc>
          <w:tcPr>
            <w:shd w:fill="d9e1f2" w:val="clear"/>
            <w:vAlign w:val="cente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Programa / sede</w:t>
            </w:r>
          </w:p>
        </w:tc>
      </w:tr>
      <w:tr>
        <w:trPr>
          <w:cantSplit w:val="1"/>
          <w:tblHeader w:val="0"/>
        </w:trPr>
        <w:tc>
          <w:tcPr>
            <w:vAlign w:val="cente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Vicente Rivera</w:t>
            </w:r>
          </w:p>
        </w:tc>
        <w:tc>
          <w:tcP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Líder backend</w:t>
            </w:r>
          </w:p>
        </w:tc>
        <w:tc>
          <w:tcPr>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Ingeniería en Informática, Duoc UC Plaza Norte</w:t>
            </w:r>
          </w:p>
        </w:tc>
      </w:tr>
      <w:tr>
        <w:trPr>
          <w:cantSplit w:val="1"/>
          <w:tblHeader w:val="0"/>
        </w:trPr>
        <w:tc>
          <w:tcPr>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Ignacio Fuenzalida</w:t>
            </w:r>
          </w:p>
        </w:tc>
        <w:tc>
          <w:tcP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IT frontend</w:t>
            </w:r>
          </w:p>
        </w:tc>
        <w:tc>
          <w:tcPr>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Ingeniería en Informática, Duoc UC Plaza Norte</w:t>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tl w:val="0"/>
        </w:rPr>
        <w:t xml:space="preserve">Contrapartes autorizadas: Max Kreimerman y Karina Álvarez, Alloxentric (Xentric Chile SpA).</w:t>
      </w:r>
    </w:p>
    <w:p w:rsidR="00000000" w:rsidDel="00000000" w:rsidP="00000000" w:rsidRDefault="00000000" w:rsidRPr="00000000" w14:paraId="00000015">
      <w:pPr>
        <w:jc w:val="center"/>
        <w:rPr/>
      </w:pPr>
      <w:r w:rsidDel="00000000" w:rsidR="00000000" w:rsidRPr="00000000">
        <w:rPr>
          <w:rtl w:val="0"/>
        </w:rPr>
        <w:t xml:space="preserve">Inicio del proyecto: 10 de agosto de 2026</w:t>
        <w:br w:type="textWrapping"/>
        <w:t xml:space="preserve">Fase de desarrollo: Semanas 1 a 15</w:t>
        <w:br w:type="textWrapping"/>
        <w:t xml:space="preserve">Preparación y entrega final: Semanas 16 a 18</w:t>
      </w:r>
    </w:p>
    <w:p w:rsidR="00000000" w:rsidDel="00000000" w:rsidP="00000000" w:rsidRDefault="00000000" w:rsidRPr="00000000" w14:paraId="00000016">
      <w:pPr>
        <w:jc w:val="center"/>
        <w:rPr/>
      </w:pPr>
      <w:r w:rsidDel="00000000" w:rsidR="00000000" w:rsidRPr="00000000">
        <w:rPr>
          <w:rtl w:val="0"/>
        </w:rPr>
        <w:t xml:space="preserve">Santiago, Chile - 2026</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t xml:space="preserve">Índice</w:t>
      </w:r>
    </w:p>
    <w:sdt>
      <w:sdtPr>
        <w:id w:val="1470875606"/>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b w:val="1"/>
                <w:bCs w:val="1"/>
                <w:color w:val="000000"/>
                <w:u w:val="none"/>
                <w:rtl w:val="0"/>
              </w:rPr>
              <w:t xml:space="preserve">Índice</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b w:val="1"/>
              <w:bCs w:val="1"/>
              <w:color w:val="000000"/>
              <w:u w:val="none"/>
            </w:rPr>
          </w:pPr>
          <w:hyperlink w:anchor="_heading=">
            <w:r w:rsidDel="00000000" w:rsidR="00000000" w:rsidRPr="00000000">
              <w:rPr>
                <w:b w:val="1"/>
                <w:bCs w:val="1"/>
                <w:color w:val="000000"/>
                <w:u w:val="none"/>
                <w:rtl w:val="0"/>
              </w:rPr>
              <w:t xml:space="preserve">1. Abstract / Resumen</w:t>
              <w:tab/>
              <w:t xml:space="preserve">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Resumen (español)</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Abstract (English)</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b w:val="1"/>
              <w:bCs w:val="1"/>
              <w:color w:val="000000"/>
              <w:u w:val="none"/>
            </w:rPr>
          </w:pPr>
          <w:hyperlink w:anchor="_heading=">
            <w:r w:rsidDel="00000000" w:rsidR="00000000" w:rsidRPr="00000000">
              <w:rPr>
                <w:b w:val="1"/>
                <w:bCs w:val="1"/>
                <w:color w:val="000000"/>
                <w:u w:val="none"/>
                <w:rtl w:val="0"/>
              </w:rPr>
              <w:t xml:space="preserve">2. Desarrollo de ingeniería</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2.1 Descripción y relevancia del proyecto</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2.2 Problema y oportunidad</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2.3 Objetivo general y objetivos específicos</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2.4 Alcance y fuera de alcance</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2.5 Relación con el perfil de egreso</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2.6 Relación con nuestros intereses profesionales</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2.7 Factibilidad</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2.8 Metodología de trabajo y organización del equipo</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2.9 Entregables por fase</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2.10 Arquitectura y componentes</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2.11 Modelo de datos propuesto</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2.12 Requerimientos funcionales y no funcionales</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2.13 Plan de pruebas</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2.14 Plan de calidad y costos</w:t>
              <w:tab/>
              <w:t xml:space="preserve">11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2.15 Gestión de riesgos</w:t>
              <w:tab/>
              <w:t xml:space="preserve">11</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2.16 Cronograma</w:t>
              <w:tab/>
              <w:t xml:space="preserve">12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2.17 Matriz RACI</w:t>
              <w:tab/>
              <w:t xml:space="preserve">13</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color w:val="000000"/>
              <w:u w:val="none"/>
            </w:rPr>
          </w:pPr>
          <w:hyperlink w:anchor="_heading=">
            <w:r w:rsidDel="00000000" w:rsidR="00000000" w:rsidRPr="00000000">
              <w:rPr>
                <w:color w:val="000000"/>
                <w:u w:val="none"/>
                <w:rtl w:val="0"/>
              </w:rPr>
              <w:t xml:space="preserve">2.18 Verificación de indicadores de calidad</w:t>
              <w:tab/>
              <w:t xml:space="preserve">13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b w:val="1"/>
              <w:bCs w:val="1"/>
              <w:color w:val="000000"/>
              <w:u w:val="none"/>
            </w:rPr>
          </w:pPr>
          <w:hyperlink w:anchor="_heading=">
            <w:r w:rsidDel="00000000" w:rsidR="00000000" w:rsidRPr="00000000">
              <w:rPr>
                <w:b w:val="1"/>
                <w:bCs w:val="1"/>
                <w:color w:val="000000"/>
                <w:u w:val="none"/>
                <w:rtl w:val="0"/>
              </w:rPr>
              <w:t xml:space="preserve">3. Conclusiones (English)</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rPr>
              <w:b w:val="1"/>
              <w:bCs w:val="1"/>
              <w:color w:val="000000"/>
              <w:u w:val="none"/>
            </w:rPr>
          </w:pPr>
          <w:hyperlink w:anchor="_heading=">
            <w:r w:rsidDel="00000000" w:rsidR="00000000" w:rsidRPr="00000000">
              <w:rPr>
                <w:b w:val="1"/>
                <w:bCs w:val="1"/>
                <w:color w:val="000000"/>
                <w:u w:val="none"/>
                <w:rtl w:val="0"/>
              </w:rPr>
              <w:t xml:space="preserve">4. Reflection (English)</w:t>
              <w:tab/>
              <w:t xml:space="preserve">14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b w:val="1"/>
              <w:bCs w:val="1"/>
              <w:color w:val="000000"/>
              <w:u w:val="none"/>
            </w:rPr>
          </w:pPr>
          <w:hyperlink w:anchor="_heading=">
            <w:r w:rsidDel="00000000" w:rsidR="00000000" w:rsidRPr="00000000">
              <w:rPr>
                <w:b w:val="1"/>
                <w:bCs w:val="1"/>
                <w:color w:val="000000"/>
                <w:u w:val="none"/>
                <w:rtl w:val="0"/>
              </w:rPr>
              <w:t xml:space="preserve">5. Fuentes y bibliografía</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b w:val="1"/>
              <w:bCs w:val="1"/>
              <w:color w:val="000000"/>
              <w:u w:val="none"/>
            </w:rPr>
          </w:pPr>
          <w:hyperlink w:anchor="_heading=">
            <w:r w:rsidDel="00000000" w:rsidR="00000000" w:rsidRPr="00000000">
              <w:rPr>
                <w:b w:val="1"/>
                <w:bCs w:val="1"/>
                <w:color w:val="000000"/>
                <w:u w:val="none"/>
                <w:rtl w:val="0"/>
              </w:rPr>
              <w:t xml:space="preserve">6. Anexo de evidencia</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spacing w:after="12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1"/>
        <w:rPr/>
      </w:pPr>
      <w:r w:rsidDel="00000000" w:rsidR="00000000" w:rsidRPr="00000000">
        <w:rPr>
          <w:rtl w:val="0"/>
        </w:rPr>
        <w:t xml:space="preserve">1. Abstract / Resumen</w:t>
      </w:r>
    </w:p>
    <w:p w:rsidR="00000000" w:rsidDel="00000000" w:rsidP="00000000" w:rsidRDefault="00000000" w:rsidRPr="00000000" w14:paraId="0000003E">
      <w:pPr>
        <w:pStyle w:val="Heading2"/>
        <w:rPr/>
      </w:pPr>
      <w:r w:rsidDel="00000000" w:rsidR="00000000" w:rsidRPr="00000000">
        <w:rPr>
          <w:rtl w:val="0"/>
        </w:rPr>
        <w:t xml:space="preserve">Resumen (español)</w:t>
      </w:r>
    </w:p>
    <w:p w:rsidR="00000000" w:rsidDel="00000000" w:rsidP="00000000" w:rsidRDefault="00000000" w:rsidRPr="00000000" w14:paraId="0000003F">
      <w:pPr>
        <w:spacing w:after="120" w:lineRule="auto"/>
        <w:rPr/>
      </w:pPr>
      <w:r w:rsidDel="00000000" w:rsidR="00000000" w:rsidRPr="00000000">
        <w:rPr>
          <w:rtl w:val="0"/>
        </w:rPr>
        <w:t xml:space="preserve">Nosotros desarrollaremos la continuidad del proyecto Inteligencia de Mercado de Alloxentric, conocido como Enci-Intel, orientado a Encipharm. Partiremos desde una plataforma existente cuyo MVP fue entregado en julio de 2026 y cuyo propósito es automatizar la vigilancia competitiva del mercado veterinario mediante agentes que recopilan información y unifican alertas para el equipo comercial y la gerencia. El proyecto nace de un proceso que antes se realizaba manualmente en planillas Excel y que podía tardar entre uno y siete días en reflejar cambios relevantes del mercado. Nuestra etapa se enfocará en estabilizar, integrar y ampliar el producto existente, manteniendo como prioridades dos agentes activos, un dashboard funcional y la integración de los endpoints críticos ya definidos.</w:t>
      </w:r>
    </w:p>
    <w:p w:rsidR="00000000" w:rsidDel="00000000" w:rsidP="00000000" w:rsidRDefault="00000000" w:rsidRPr="00000000" w14:paraId="00000040">
      <w:pPr>
        <w:spacing w:after="120" w:lineRule="auto"/>
        <w:rPr/>
      </w:pPr>
      <w:r w:rsidDel="00000000" w:rsidR="00000000" w:rsidRPr="00000000">
        <w:rPr>
          <w:rtl w:val="0"/>
        </w:rPr>
        <w:t xml:space="preserve">Nosotros trabajaremos como un equipo de dos personas, distribuyendo responsabilidades entre backend y frontend y coordinando las decisiones de arquitectura, pruebas, documentación y seguimiento con las contrapartes de Alloxentric. Aplicaremos un enfoque tradicional y estructurado por fases, utilizando actas, EDT, carta Gantt, RACI, riesgos, especificaciones, modelos, pruebas, control de calidad y documentación de cierre. La propuesta es factible porque contamos con una base funcional existente, documentación de requerimientos y API, además de un alcance acotado que podemos controlar dentro de 15 semanas de desarrollo.</w:t>
      </w:r>
    </w:p>
    <w:p w:rsidR="00000000" w:rsidDel="00000000" w:rsidP="00000000" w:rsidRDefault="00000000" w:rsidRPr="00000000" w14:paraId="00000041">
      <w:pPr>
        <w:pStyle w:val="Heading2"/>
        <w:rPr/>
      </w:pPr>
      <w:r w:rsidDel="00000000" w:rsidR="00000000" w:rsidRPr="00000000">
        <w:rPr>
          <w:rtl w:val="0"/>
        </w:rPr>
        <w:t xml:space="preserve">Abstract (English)</w:t>
      </w:r>
    </w:p>
    <w:p w:rsidR="00000000" w:rsidDel="00000000" w:rsidP="00000000" w:rsidRDefault="00000000" w:rsidRPr="00000000" w14:paraId="00000042">
      <w:pPr>
        <w:spacing w:after="120" w:lineRule="auto"/>
        <w:rPr/>
      </w:pPr>
      <w:r w:rsidDel="00000000" w:rsidR="00000000" w:rsidRPr="00000000">
        <w:rPr>
          <w:rtl w:val="0"/>
        </w:rPr>
        <w:t xml:space="preserve">We will continue the Intelligent Market project developed by Alloxentric for Encipharm, known as Enci-Intel. We will start from an existing MVP delivered in July 2026, whose purpose is to automate competitive intelligence for the veterinary market through autonomous monitoring agents and a dashboard of actionable alerts. The original business process relied on Excel spreadsheets and could take from one to seven days to identify relevant changes such as price movements, new regulatory records, or product shortages. Our work will focus on stabilizing and integrating the existing solution and extending it in a controlled way.</w:t>
      </w:r>
    </w:p>
    <w:p w:rsidR="00000000" w:rsidDel="00000000" w:rsidP="00000000" w:rsidRDefault="00000000" w:rsidRPr="00000000" w14:paraId="00000043">
      <w:pPr>
        <w:spacing w:after="120" w:lineRule="auto"/>
        <w:rPr/>
      </w:pPr>
      <w:r w:rsidDel="00000000" w:rsidR="00000000" w:rsidRPr="00000000">
        <w:rPr>
          <w:rtl w:val="0"/>
        </w:rPr>
        <w:t xml:space="preserve">We will work as a two-person team, with Vicente Rivera leading backend development and Ignacio Fuenzalida leading frontend development. We will share responsibility for architecture, requirements, testing, quality, documentation, and coordination with Alloxentric. We will use a structured and traditional project approach, supported by planning, requirements, design, construction, testing, implementation, and closing deliverables. The project is feasible because we have an existing technical base, documented API requirements, and a reduced scope that can be managed during the fifteen-week development period.</w:t>
      </w:r>
    </w:p>
    <w:p w:rsidR="00000000" w:rsidDel="00000000" w:rsidP="00000000" w:rsidRDefault="00000000" w:rsidRPr="00000000" w14:paraId="00000044">
      <w:pPr>
        <w:pStyle w:val="Heading1"/>
        <w:rPr/>
      </w:pPr>
      <w:r w:rsidDel="00000000" w:rsidR="00000000" w:rsidRPr="00000000">
        <w:rPr>
          <w:rtl w:val="0"/>
        </w:rPr>
        <w:t xml:space="preserve">2. Desarrollo de ingeniería</w:t>
      </w:r>
    </w:p>
    <w:p w:rsidR="00000000" w:rsidDel="00000000" w:rsidP="00000000" w:rsidRDefault="00000000" w:rsidRPr="00000000" w14:paraId="00000045">
      <w:pPr>
        <w:pStyle w:val="Heading2"/>
        <w:rPr/>
      </w:pPr>
      <w:r w:rsidDel="00000000" w:rsidR="00000000" w:rsidRPr="00000000">
        <w:rPr>
          <w:rtl w:val="0"/>
        </w:rPr>
        <w:t xml:space="preserve">2.1 Descripción y relevancia del proyecto</w:t>
      </w:r>
    </w:p>
    <w:p w:rsidR="00000000" w:rsidDel="00000000" w:rsidP="00000000" w:rsidRDefault="00000000" w:rsidRPr="00000000" w14:paraId="00000046">
      <w:pPr>
        <w:spacing w:after="120" w:lineRule="auto"/>
        <w:rPr/>
      </w:pPr>
      <w:r w:rsidDel="00000000" w:rsidR="00000000" w:rsidRPr="00000000">
        <w:rPr>
          <w:rtl w:val="0"/>
        </w:rPr>
        <w:t xml:space="preserve">Nosotros desarrollaremos una plataforma de inteligencia de mercado que reúne información sobre competidores del mercado veterinario y la convierte en alertas útiles para la toma de decisiones. El sistema monitorea fuentes regulatorias y comerciales, compara información, aplica reglas de criticidad y muestra los resultados en un dashboard. También incorpora un Consultor Veterinario IA para apoyar consultas técnicas con referencias y filtros por especie.</w:t>
      </w:r>
    </w:p>
    <w:p w:rsidR="00000000" w:rsidDel="00000000" w:rsidP="00000000" w:rsidRDefault="00000000" w:rsidRPr="00000000" w14:paraId="00000047">
      <w:pPr>
        <w:spacing w:after="120" w:lineRule="auto"/>
        <w:rPr/>
      </w:pPr>
      <w:r w:rsidDel="00000000" w:rsidR="00000000" w:rsidRPr="00000000">
        <w:rPr>
          <w:rtl w:val="0"/>
        </w:rPr>
        <w:t xml:space="preserve">El proyecto corresponde a una modalidad de continuidad. El informe base indica que Enci-Intel cuenta con documentación funcional y PRD, una API especificada con 22 endpoints y un alcance reducido acordado en mayo de 2026. El alcance reducido dejó como pilares dos agentes activos, un dashboard alineado al wireframe y la integración de los endpoints críticos. Nosotros tomaremos esa base como punto de partida y no como un desarrollo desde cero.</w:t>
      </w:r>
    </w:p>
    <w:p w:rsidR="00000000" w:rsidDel="00000000" w:rsidP="00000000" w:rsidRDefault="00000000" w:rsidRPr="00000000" w14:paraId="00000048">
      <w:pPr>
        <w:spacing w:after="120" w:lineRule="auto"/>
        <w:rPr/>
      </w:pPr>
      <w:r w:rsidDel="00000000" w:rsidR="00000000" w:rsidRPr="00000000">
        <w:rPr>
          <w:rtl w:val="0"/>
        </w:rPr>
        <w:t xml:space="preserve">La relevancia laboral se relaciona con problemas habituales del desarrollo de software: integración de APIs, diseño de datos, interfaces web, automatización, autenticación, pruebas, despliegue cloud, trazabilidad de cambios y gestión de proyecto. Además, el sistema combina desarrollo tradicional de software con componentes de IA y procesamiento automatizado, por lo que nos permite aplicar varias competencias de especialidad en un contexto cercano al trabajo real.</w:t>
      </w:r>
    </w:p>
    <w:p w:rsidR="00000000" w:rsidDel="00000000" w:rsidP="00000000" w:rsidRDefault="00000000" w:rsidRPr="00000000" w14:paraId="00000049">
      <w:pPr>
        <w:pStyle w:val="Heading2"/>
        <w:rPr/>
      </w:pPr>
      <w:r w:rsidDel="00000000" w:rsidR="00000000" w:rsidRPr="00000000">
        <w:rPr>
          <w:rtl w:val="0"/>
        </w:rPr>
        <w:t xml:space="preserve">2.2 Problema y oportunidad</w:t>
      </w:r>
    </w:p>
    <w:p w:rsidR="00000000" w:rsidDel="00000000" w:rsidP="00000000" w:rsidRDefault="00000000" w:rsidRPr="00000000" w14:paraId="0000004A">
      <w:pPr>
        <w:spacing w:after="120" w:lineRule="auto"/>
        <w:rPr/>
      </w:pPr>
      <w:r w:rsidDel="00000000" w:rsidR="00000000" w:rsidRPr="00000000">
        <w:rPr>
          <w:rtl w:val="0"/>
        </w:rPr>
        <w:t xml:space="preserve">Nosotros identificamos como problema principal la latencia del proceso de inteligencia competitiva. En el escenario anterior, la información se reunía en planillas Excel y los cambios del mercado podían detectarse con un desfase de uno a siete días. Enci-Intel busca reemplazar ese flujo manual por agentes que monitorean de forma continua y generan alertas para el área comercial y la gerencia. La métrica central definida para el proyecto es el Tiempo de Respuesta Competitiva, con una meta de menos de cuatro horas para el MVP y menos de dos horas a seis meses. fileciteturn4file0L14-L21</w:t>
      </w:r>
    </w:p>
    <w:p w:rsidR="00000000" w:rsidDel="00000000" w:rsidP="00000000" w:rsidRDefault="00000000" w:rsidRPr="00000000" w14:paraId="0000004B">
      <w:pPr>
        <w:spacing w:after="120" w:lineRule="auto"/>
        <w:rPr/>
      </w:pPr>
      <w:r w:rsidDel="00000000" w:rsidR="00000000" w:rsidRPr="00000000">
        <w:rPr>
          <w:rtl w:val="0"/>
        </w:rPr>
        <w:t xml:space="preserve">Nosotros vemos una oportunidad concreta en mejorar la calidad y rapidez de la información disponible sin ampliar el alcance de forma descontrolada. La documentación de alcance reducido indica que el objetivo es cerrar bien los flujos principales y evitar incorporar nuevas funcionalidades que alteren el contrato API.</w:t>
      </w:r>
    </w:p>
    <w:p w:rsidR="00000000" w:rsidDel="00000000" w:rsidP="00000000" w:rsidRDefault="00000000" w:rsidRPr="00000000" w14:paraId="0000004C">
      <w:pPr>
        <w:pStyle w:val="Heading2"/>
        <w:rPr/>
      </w:pPr>
      <w:r w:rsidDel="00000000" w:rsidR="00000000" w:rsidRPr="00000000">
        <w:rPr>
          <w:rtl w:val="0"/>
        </w:rPr>
        <w:t xml:space="preserve">2.3 Objetivo general y objetivos específicos</w:t>
      </w:r>
    </w:p>
    <w:p w:rsidR="00000000" w:rsidDel="00000000" w:rsidP="00000000" w:rsidRDefault="00000000" w:rsidRPr="00000000" w14:paraId="0000004D">
      <w:pPr>
        <w:spacing w:after="120" w:lineRule="auto"/>
        <w:rPr/>
      </w:pPr>
      <w:r w:rsidDel="00000000" w:rsidR="00000000" w:rsidRPr="00000000">
        <w:rPr>
          <w:rtl w:val="0"/>
        </w:rPr>
        <w:t xml:space="preserve">Objetivo general: Nosotros implementaremos una continuidad funcional y estable de Enci-Intel, mejorando la integración entre agentes, backend y frontend, consolidando el dashboard y dejando documentados los procesos de prueba, despliegue, soporte y mantenimiento.</w:t>
      </w:r>
    </w:p>
    <w:p w:rsidR="00000000" w:rsidDel="00000000" w:rsidP="00000000" w:rsidRDefault="00000000" w:rsidRPr="00000000" w14:paraId="0000004E">
      <w:pPr>
        <w:spacing w:after="120" w:lineRule="auto"/>
        <w:rPr/>
      </w:pPr>
      <w:r w:rsidDel="00000000" w:rsidR="00000000" w:rsidRPr="00000000">
        <w:rPr>
          <w:rtl w:val="0"/>
        </w:rPr>
        <w:t xml:space="preserve">Objetivos específicos:</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Nosotros revisaremos la base existente y validaremos el alcance contra la documentación funcional y la API de 22 endpoints.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Nosotros implementaremos y/o estabilizaremos los dos agentes priorizados y sus flujos de programación, ejecución, registro y monitoreo.</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Nosotros integraremos el dashboard con los endpoints críticos, priorizando alertas, estados principales, autenticación y datos de los agentes.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Nosotros aseguraremos control de acceso por roles Admin, Comercial y Gerencia, junto con una estructura clara para permisos y trazabilidad.</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Nosotros diseñaremos y ejecutaremos pruebas unitarias, de integración, de API, de interfaz y de aceptación con evidencia.</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Nosotros dejaremos documentación técnica, manual de usuario, manual de administración y un procedimiento básico de soporte y mantenimiento.</w:t>
      </w:r>
    </w:p>
    <w:p w:rsidR="00000000" w:rsidDel="00000000" w:rsidP="00000000" w:rsidRDefault="00000000" w:rsidRPr="00000000" w14:paraId="00000055">
      <w:pPr>
        <w:pStyle w:val="Heading2"/>
        <w:rPr/>
      </w:pPr>
      <w:r w:rsidDel="00000000" w:rsidR="00000000" w:rsidRPr="00000000">
        <w:rPr>
          <w:rtl w:val="0"/>
        </w:rPr>
        <w:t xml:space="preserve">2.4 Alcance y fuera de alcance</w:t>
      </w:r>
    </w:p>
    <w:tbl>
      <w:tblPr>
        <w:tblStyle w:val="Table2"/>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07"/>
        <w:gridCol w:w="4815"/>
        <w:tblGridChange w:id="0">
          <w:tblGrid>
            <w:gridCol w:w="4807"/>
            <w:gridCol w:w="4815"/>
          </w:tblGrid>
        </w:tblGridChange>
      </w:tblGrid>
      <w:tr>
        <w:trPr>
          <w:cantSplit w:val="1"/>
          <w:tblHeader w:val="1"/>
        </w:trPr>
        <w:tc>
          <w:tcPr>
            <w:shd w:fill="d9e1f2" w:val="clea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Incluiremos en el alcance</w:t>
            </w:r>
          </w:p>
        </w:tc>
        <w:tc>
          <w:tcPr>
            <w:shd w:fill="d9e1f2" w:val="clea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Dejaremos fuera del alcance principal</w:t>
            </w:r>
          </w:p>
        </w:tc>
      </w:tr>
      <w:tr>
        <w:trPr>
          <w:cantSplit w:val="1"/>
          <w:tblHeader w:val="0"/>
        </w:trPr>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Dos agentes activos priorizados según el alcance reducido.</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Implementar simultáneamente los cinco agentes del plan original.</w:t>
            </w:r>
          </w:p>
        </w:tc>
      </w:tr>
      <w:tr>
        <w:trPr>
          <w:cantSplit w:val="1"/>
          <w:tblHeader w:val="0"/>
        </w:trPr>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Dashboard de alertas, estados y KPIs principales.</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Construir completa la Fase 2 si requiere un aumento relevante del alcance.</w:t>
            </w:r>
          </w:p>
        </w:tc>
      </w:tr>
      <w:tr>
        <w:trPr>
          <w:cantSplit w:val="1"/>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Integración de endpoints críticos ya especificados.</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Rediseñar por completo el contrato de API existente.</w:t>
            </w:r>
          </w:p>
        </w:tc>
      </w:tr>
      <w:tr>
        <w:trPr>
          <w:cantSplit w:val="1"/>
          <w:tblHeader w:val="0"/>
        </w:trPr>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Configuración y monitoreo de agentes.</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Nuevos módulos complejos no validados con las contrapartes.</w:t>
            </w:r>
          </w:p>
        </w:tc>
      </w:tr>
      <w:tr>
        <w:trPr>
          <w:cantSplit w:val="1"/>
          <w:tblHeader w:val="0"/>
        </w:trPr>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Autenticación y RBAC con Admin, Comercial y Gerencia.</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Cambiar la infraestructura cloud definida sin una razón técnica aprobada.</w:t>
            </w:r>
          </w:p>
        </w:tc>
      </w:tr>
      <w:tr>
        <w:trPr>
          <w:cantSplit w:val="1"/>
          <w:tblHeader w:val="0"/>
        </w:trPr>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Pruebas, documentación, despliegue y soporte inicial.</w:t>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Desarrollar aplicaciones móviles u otras superficies no contempladas en la base actual.</w:t>
            </w:r>
          </w:p>
        </w:tc>
      </w:tr>
    </w:tbl>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spacing w:after="120" w:lineRule="auto"/>
        <w:rPr/>
      </w:pPr>
      <w:r w:rsidDel="00000000" w:rsidR="00000000" w:rsidRPr="00000000">
        <w:rPr>
          <w:rtl w:val="0"/>
        </w:rPr>
        <w:t xml:space="preserve">Nosotros mantendremos una regla de control de alcance: cualquier nueva funcionalidad será evaluada por impacto en tiempo, riesgo, dependencias y valor para el usuario antes de incorporarla. Esto responde directamente al documento de alcance reducido, que recomienda priorizar la estabilidad y los flujos principales.</w:t>
      </w:r>
    </w:p>
    <w:p w:rsidR="00000000" w:rsidDel="00000000" w:rsidP="00000000" w:rsidRDefault="00000000" w:rsidRPr="00000000" w14:paraId="00000066">
      <w:pPr>
        <w:pStyle w:val="Heading2"/>
        <w:rPr/>
      </w:pPr>
      <w:r w:rsidDel="00000000" w:rsidR="00000000" w:rsidRPr="00000000">
        <w:rPr>
          <w:rtl w:val="0"/>
        </w:rPr>
        <w:t xml:space="preserve">2.5 Relación con el perfil de egreso</w:t>
      </w:r>
    </w:p>
    <w:p w:rsidR="00000000" w:rsidDel="00000000" w:rsidP="00000000" w:rsidRDefault="00000000" w:rsidRPr="00000000" w14:paraId="00000067">
      <w:pPr>
        <w:spacing w:after="120" w:lineRule="auto"/>
        <w:rPr/>
      </w:pPr>
      <w:r w:rsidDel="00000000" w:rsidR="00000000" w:rsidRPr="00000000">
        <w:rPr>
          <w:rtl w:val="0"/>
        </w:rPr>
        <w:t xml:space="preserve">La guía de Fase 1 exige relacionar el proyecto con las competencias del perfil de egreso y demostrar, idealmente, al menos tres competencias de especialidad. Nosotros relacionaremos el proyecto con las cuatro competencias disciplinarias que aparecen en la pauta y mostraremos cómo las utilizaremos durante el desarrollo.</w:t>
      </w:r>
    </w:p>
    <w:tbl>
      <w:tblPr>
        <w:tblStyle w:val="Table3"/>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60"/>
        <w:gridCol w:w="5862"/>
        <w:tblGridChange w:id="0">
          <w:tblGrid>
            <w:gridCol w:w="3760"/>
            <w:gridCol w:w="5862"/>
          </w:tblGrid>
        </w:tblGridChange>
      </w:tblGrid>
      <w:tr>
        <w:trPr>
          <w:cantSplit w:val="1"/>
          <w:tblHeader w:val="1"/>
        </w:trPr>
        <w:tc>
          <w:tcPr>
            <w:shd w:fill="d9e1f2" w:val="clea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Competencia</w:t>
            </w:r>
          </w:p>
        </w:tc>
        <w:tc>
          <w:tcPr>
            <w:shd w:fill="d9e1f2" w:val="clea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Cómo la aplicaremos</w:t>
            </w:r>
          </w:p>
        </w:tc>
      </w:tr>
      <w:tr>
        <w:trPr>
          <w:cantSplit w:val="1"/>
          <w:tblHeader w:val="0"/>
        </w:trPr>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 Realizar pruebas de certificación de productos y procesos.</w:t>
            </w:r>
          </w:p>
        </w:tc>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diseñaremos casos de prueba, automatizaremos validaciones donde sea posible, registraremos resultados y aplicaremos mejoras a partir de defectos encontrados.</w:t>
            </w:r>
          </w:p>
        </w:tc>
      </w:tr>
      <w:tr>
        <w:trPr>
          <w:cantSplit w:val="1"/>
          <w:tblHeader w:val="0"/>
        </w:trPr>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 Gestionar proyectos informáticos.</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planificaremos fases, hitos, responsables, riesgos, alcance, controles y decisiones técnicas mediante EDT, Gantt, RACI y minutas.</w:t>
            </w:r>
          </w:p>
        </w:tc>
      </w:tr>
      <w:tr>
        <w:trPr>
          <w:cantSplit w:val="1"/>
          <w:tblHeader w:val="0"/>
        </w:trPr>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 Construir modelos de datos escalables.</w:t>
            </w:r>
          </w:p>
        </w:tc>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definiremos las entidades y relaciones necesarias para usuarios, agentes, fuentes, alertas, productos y eventos, considerando consistencia, consultas y crecimiento.</w:t>
            </w:r>
          </w:p>
        </w:tc>
      </w:tr>
      <w:tr>
        <w:trPr>
          <w:cantSplit w:val="1"/>
          <w:tblHeader w:val="0"/>
        </w:trPr>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 Desarrollar una solución de software sistematizada.</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construiremos e integraremos frontend, backend, base de datos, agentes, autenticación y despliegue utilizando control de versiones, documentación y prácticas de QA.</w:t>
            </w:r>
          </w:p>
        </w:tc>
      </w:tr>
    </w:tbl>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spacing w:after="120" w:lineRule="auto"/>
        <w:rPr/>
      </w:pPr>
      <w:r w:rsidDel="00000000" w:rsidR="00000000" w:rsidRPr="00000000">
        <w:rPr>
          <w:rtl w:val="0"/>
        </w:rPr>
        <w:t xml:space="preserve">La pauta también define indicadores concretos para diseñar y aplicar pruebas, planificar y controlar el proyecto, diseñar e implementar modelos de datos y construir, integrar e implantar la solución. Nosotros cubriremos estos indicadores durante el proyecto y dejaremos evidencia de cada uno.</w:t>
      </w:r>
    </w:p>
    <w:p w:rsidR="00000000" w:rsidDel="00000000" w:rsidP="00000000" w:rsidRDefault="00000000" w:rsidRPr="00000000" w14:paraId="00000074">
      <w:pPr>
        <w:pStyle w:val="Heading2"/>
        <w:rPr/>
      </w:pPr>
      <w:r w:rsidDel="00000000" w:rsidR="00000000" w:rsidRPr="00000000">
        <w:rPr>
          <w:rtl w:val="0"/>
        </w:rPr>
        <w:t xml:space="preserve">2.6 Relación con nuestros intereses profesionales</w:t>
      </w:r>
    </w:p>
    <w:p w:rsidR="00000000" w:rsidDel="00000000" w:rsidP="00000000" w:rsidRDefault="00000000" w:rsidRPr="00000000" w14:paraId="00000075">
      <w:pPr>
        <w:spacing w:after="120" w:lineRule="auto"/>
        <w:rPr/>
      </w:pPr>
      <w:r w:rsidDel="00000000" w:rsidR="00000000" w:rsidRPr="00000000">
        <w:rPr>
          <w:rtl w:val="0"/>
        </w:rPr>
        <w:t xml:space="preserve">Nosotros relacionamos el proyecto con nuestros intereses en desarrollo de software, arquitectura, APIs, datos, automatización e interfaces web. Vicente Rivera participará principalmente en backend y diseño de servicios, por lo que el proyecto nos permite profundizar en FastAPI, autenticación, integración de endpoints, persistencia y ejecución de procesos automatizados. Ignacio Fuenzalida participará principalmente en frontend, por lo que podremos profundizar en React, TypeScript, consumo de APIs, manejo de estados y construcción de dashboards.</w:t>
      </w:r>
    </w:p>
    <w:p w:rsidR="00000000" w:rsidDel="00000000" w:rsidP="00000000" w:rsidRDefault="00000000" w:rsidRPr="00000000" w14:paraId="00000076">
      <w:pPr>
        <w:spacing w:after="120" w:lineRule="auto"/>
        <w:rPr/>
      </w:pPr>
      <w:r w:rsidDel="00000000" w:rsidR="00000000" w:rsidRPr="00000000">
        <w:rPr>
          <w:rtl w:val="0"/>
        </w:rPr>
        <w:t xml:space="preserve">También nos interesa trabajar con sistemas reales donde una decisión técnica tenga impacto en operación y negocio. Enci-Intel nos permite observar cómo una fuente externa se transforma en un dato, cómo ese dato se procesa, cómo se convierte en una alerta y cómo esa alerta llega finalmente a una persona que debe decidir. Esto nos obliga a considerar no solo código, sino también experiencia de usuario, seguridad, calidad, rendimiento, trazabilidad y mantenimiento.</w:t>
      </w:r>
    </w:p>
    <w:p w:rsidR="00000000" w:rsidDel="00000000" w:rsidP="00000000" w:rsidRDefault="00000000" w:rsidRPr="00000000" w14:paraId="00000077">
      <w:pPr>
        <w:pStyle w:val="Heading2"/>
        <w:rPr/>
      </w:pPr>
      <w:r w:rsidDel="00000000" w:rsidR="00000000" w:rsidRPr="00000000">
        <w:rPr>
          <w:rtl w:val="0"/>
        </w:rPr>
        <w:t xml:space="preserve">2.7 Factibilidad</w:t>
      </w:r>
    </w:p>
    <w:p w:rsidR="00000000" w:rsidDel="00000000" w:rsidP="00000000" w:rsidRDefault="00000000" w:rsidRPr="00000000" w14:paraId="00000078">
      <w:pPr>
        <w:spacing w:after="120" w:lineRule="auto"/>
        <w:rPr/>
      </w:pPr>
      <w:r w:rsidDel="00000000" w:rsidR="00000000" w:rsidRPr="00000000">
        <w:rPr>
          <w:rtl w:val="0"/>
        </w:rPr>
        <w:t xml:space="preserve">Nosotros consideramos que el proyecto es factible porque comenzaremos desde una plataforma existente y documentada. El informe del proyecto indica que ya existe un MVP, documentación funcional, PRD, una API de 22 endpoints y una propuesta de alcance reducido. El plan original completo contemplaba 8 semanas, 4 personas, 62 tickets y 247 story points; por su tamaño, la propia documentación recomienda recortar el alcance y trabajar sobre tres pilares.</w:t>
      </w:r>
    </w:p>
    <w:p w:rsidR="00000000" w:rsidDel="00000000" w:rsidP="00000000" w:rsidRDefault="00000000" w:rsidRPr="00000000" w14:paraId="00000079">
      <w:pPr>
        <w:spacing w:after="120" w:lineRule="auto"/>
        <w:rPr/>
      </w:pPr>
      <w:r w:rsidDel="00000000" w:rsidR="00000000" w:rsidRPr="00000000">
        <w:rPr>
          <w:rtl w:val="0"/>
        </w:rPr>
        <w:t xml:space="preserve">Nuestro calendario académico contempla 15 semanas de desarrollo y tres semanas adicionales de preparación y entrega. Por eso nosotros distribuiremos el trabajo en bloques de análisis, construcción, integración y validación, dejando margen para correcciones y cierre. El factor más importante será controlar el alcance, porque el equipo real será de dos personas y no cuatro. Para mitigarlo, priorizaremos funcionalidades críticas, reutilizaremos la base existente, trabajaremos contra el contrato API y evitaremos ampliar módulos sin aprobación.</w:t>
      </w:r>
    </w:p>
    <w:tbl>
      <w:tblPr>
        <w:tblStyle w:val="Table4"/>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76"/>
        <w:gridCol w:w="3712"/>
        <w:gridCol w:w="3734"/>
        <w:tblGridChange w:id="0">
          <w:tblGrid>
            <w:gridCol w:w="2176"/>
            <w:gridCol w:w="3712"/>
            <w:gridCol w:w="3734"/>
          </w:tblGrid>
        </w:tblGridChange>
      </w:tblGrid>
      <w:tr>
        <w:trPr>
          <w:cantSplit w:val="1"/>
          <w:tblHeader w:val="1"/>
        </w:trPr>
        <w:tc>
          <w:tcPr>
            <w:shd w:fill="d9e1f2" w:val="clear"/>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Factor</w:t>
            </w:r>
          </w:p>
        </w:tc>
        <w:tc>
          <w:tcPr>
            <w:shd w:fill="d9e1f2" w:val="clea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Evaluación de factibilidad</w:t>
            </w:r>
          </w:p>
        </w:tc>
        <w:tc>
          <w:tcPr>
            <w:shd w:fill="d9e1f2" w:val="clea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Cómo lo abordaremos</w:t>
            </w:r>
          </w:p>
        </w:tc>
      </w:tr>
      <w:tr>
        <w:trPr>
          <w:cantSplit w:val="1"/>
          <w:tblHeader w:val="0"/>
        </w:trPr>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Tiempo</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Factible con alcance controlado.</w:t>
            </w:r>
          </w:p>
        </w:tc>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Priorizaremos dos agentes, dashboard y endpoints críticos.</w:t>
            </w:r>
          </w:p>
        </w:tc>
      </w:tr>
      <w:tr>
        <w:trPr>
          <w:cantSplit w:val="1"/>
          <w:tblHeader w:val="0"/>
        </w:trPr>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Materiales</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Disponemos de repositorio, documentación y componentes existentes.</w:t>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Partiremos de lo disponible y documentaremos cambios.</w:t>
            </w:r>
          </w:p>
        </w:tc>
      </w:tr>
      <w:tr>
        <w:trPr>
          <w:cantSplit w:val="1"/>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Equipo</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Somos dos personas.</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Separaremos backend/frontend, pero compartiremos pruebas, arquitectura y documentación.</w:t>
            </w:r>
          </w:p>
        </w:tc>
      </w:tr>
      <w:tr>
        <w:trPr>
          <w:cantSplit w:val="1"/>
          <w:tblHeader w:val="0"/>
        </w:trPr>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Dependencias</w:t>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Existen datos externos, servicios cloud y validación de contrapartes.</w:t>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Usaremos mocks/stubs cuando una dependencia externa bloquee pruebas y coordinaremos validaciones.</w:t>
            </w:r>
          </w:p>
        </w:tc>
      </w:tr>
      <w:tr>
        <w:trPr>
          <w:cantSplit w:val="1"/>
          <w:tblHeader w:val="0"/>
        </w:trPr>
        <w:tc>
          <w:tcPr>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Riesgo técnico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Moderado por integración, IA y servicios externos.</w:t>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Aplicaremos pruebas por capas, logs, control de errores y revisión de cambios.</w:t>
            </w:r>
          </w:p>
        </w:tc>
      </w:tr>
    </w:tbl>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2"/>
        <w:rPr/>
      </w:pPr>
      <w:r w:rsidDel="00000000" w:rsidR="00000000" w:rsidRPr="00000000">
        <w:rPr>
          <w:rtl w:val="0"/>
        </w:rPr>
        <w:t xml:space="preserve">2.8 Metodología de trabajo y organización del equipo</w:t>
      </w:r>
    </w:p>
    <w:p w:rsidR="00000000" w:rsidDel="00000000" w:rsidP="00000000" w:rsidRDefault="00000000" w:rsidRPr="00000000" w14:paraId="0000008E">
      <w:pPr>
        <w:spacing w:after="120" w:lineRule="auto"/>
        <w:rPr/>
      </w:pPr>
      <w:r w:rsidDel="00000000" w:rsidR="00000000" w:rsidRPr="00000000">
        <w:rPr>
          <w:rtl w:val="0"/>
        </w:rPr>
        <w:t xml:space="preserve">Nosotros utilizaremos un enfoque tradicional, estructurado en cuatro fases: planificación inicial; análisis y diseño; construcción; implementación y cierre. Aunque el proyecto anterior utilizó SCRUMBAN, nuestra guía de proyecto exige que organicemos la propuesta con entregables formales y trazables. Por eso nosotros utilizaremos una planificación secuencial con revisiones semanales y puntos de control al terminar cada fase. El informe base confirma que el MVP anterior fue trabajado con SCRUMBAN y desplegado en Google Cloud Platform.</w:t>
      </w:r>
    </w:p>
    <w:tbl>
      <w:tblPr>
        <w:tblStyle w:val="Table5"/>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50"/>
        <w:gridCol w:w="3747"/>
        <w:gridCol w:w="3225"/>
        <w:tblGridChange w:id="0">
          <w:tblGrid>
            <w:gridCol w:w="2650"/>
            <w:gridCol w:w="3747"/>
            <w:gridCol w:w="3225"/>
          </w:tblGrid>
        </w:tblGridChange>
      </w:tblGrid>
      <w:tr>
        <w:trPr>
          <w:cantSplit w:val="1"/>
          <w:tblHeader w:val="1"/>
        </w:trPr>
        <w:tc>
          <w:tcPr>
            <w:shd w:fill="d9e1f2"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Rol</w:t>
            </w:r>
          </w:p>
        </w:tc>
        <w:tc>
          <w:tcPr>
            <w:shd w:fill="d9e1f2"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Responsabilidades principales</w:t>
            </w:r>
          </w:p>
        </w:tc>
        <w:tc>
          <w:tcPr>
            <w:shd w:fill="d9e1f2" w:val="clea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Responsabilidades compartidas</w:t>
            </w:r>
          </w:p>
        </w:tc>
      </w:tr>
      <w:tr>
        <w:trPr>
          <w:cantSplit w:val="1"/>
          <w:tblHeader w:val="0"/>
        </w:trPr>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Vicente Rivera - Líder backend</w:t>
            </w:r>
          </w:p>
        </w:tc>
        <w:tc>
          <w:tcP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 FastAPI, integración de endpoints, autenticación/RBAC, persistencia, agentes y servicios cloud.</w:t>
            </w:r>
          </w:p>
        </w:tc>
        <w:tc>
          <w:tcP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Arquitectura, revisión de requerimientos, pruebas, documentación, control de cambios y coordinación con contrapartes.</w:t>
            </w:r>
          </w:p>
        </w:tc>
      </w:tr>
      <w:tr>
        <w:trPr>
          <w:cantSplit w:val="1"/>
          <w:tblHeader w:val="0"/>
        </w:trPr>
        <w:tc>
          <w:tcP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Ignacio Fuenzalida - IT frontend</w:t>
            </w:r>
          </w:p>
        </w:tc>
        <w:tc>
          <w:tcPr>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React/TypeScript, dashboard, vistas de agentes y alertas, manejo de estados y consumo de API.</w:t>
            </w:r>
          </w:p>
        </w:tc>
        <w:tc>
          <w:tcPr>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Arquitectura, revisión de requerimientos, pruebas, documentación, control de cambios y coordinación con contrapartes.</w:t>
            </w:r>
          </w:p>
        </w:tc>
      </w:tr>
    </w:tbl>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spacing w:after="120" w:lineRule="auto"/>
        <w:rPr/>
      </w:pPr>
      <w:r w:rsidDel="00000000" w:rsidR="00000000" w:rsidRPr="00000000">
        <w:rPr>
          <w:rtl w:val="0"/>
        </w:rPr>
        <w:t xml:space="preserve">Nosotros mantendremos una cadencia semanal de revisión de alcance, avances, bloqueos y riesgos. Toda decisión relevante será registrada en la minuta de control de programación y, cuando afecte la arquitectura o alcance, en el documento correspondiente.</w:t>
      </w:r>
    </w:p>
    <w:p w:rsidR="00000000" w:rsidDel="00000000" w:rsidP="00000000" w:rsidRDefault="00000000" w:rsidRPr="00000000" w14:paraId="0000009A">
      <w:pPr>
        <w:pStyle w:val="Heading2"/>
        <w:rPr/>
      </w:pPr>
      <w:r w:rsidDel="00000000" w:rsidR="00000000" w:rsidRPr="00000000">
        <w:rPr>
          <w:rtl w:val="0"/>
        </w:rPr>
        <w:t xml:space="preserve">2.9 Entregables por fase</w:t>
      </w:r>
    </w:p>
    <w:tbl>
      <w:tblPr>
        <w:tblStyle w:val="Table6"/>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86"/>
        <w:gridCol w:w="3199"/>
        <w:gridCol w:w="4237"/>
        <w:tblGridChange w:id="0">
          <w:tblGrid>
            <w:gridCol w:w="2186"/>
            <w:gridCol w:w="3199"/>
            <w:gridCol w:w="4237"/>
          </w:tblGrid>
        </w:tblGridChange>
      </w:tblGrid>
      <w:tr>
        <w:trPr>
          <w:cantSplit w:val="1"/>
          <w:tblHeader w:val="1"/>
        </w:trPr>
        <w:tc>
          <w:tcPr>
            <w:shd w:fill="d9e1f2" w:val="clea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Fase</w:t>
            </w:r>
          </w:p>
        </w:tc>
        <w:tc>
          <w:tcPr>
            <w:shd w:fill="d9e1f2" w:val="clea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Entregables</w:t>
            </w:r>
          </w:p>
        </w:tc>
        <w:tc>
          <w:tcPr>
            <w:shd w:fill="d9e1f2" w:val="clear"/>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Qué contendrán y cómo los usaremos</w:t>
            </w:r>
          </w:p>
        </w:tc>
      </w:tr>
      <w:tr>
        <w:trPr>
          <w:cantSplit w:val="1"/>
          <w:tblHeader w:val="0"/>
        </w:trPr>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 Planificación Inicial</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Acta de Constitución; EDT - Hitos y Diccionario; Carta Gantt; RACI; Matriz de Riesgos; Plan de Pruebas Inicial.</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fijaremos objetivo, alcance, responsables, hitos, dependencias, riesgos y estrategia de pruebas. Estos documentos serán la base para controlar el proyecto.</w:t>
            </w:r>
          </w:p>
        </w:tc>
      </w:tr>
      <w:tr>
        <w:trPr>
          <w:cantSplit w:val="1"/>
          <w:tblHeader w:val="0"/>
        </w:trPr>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 Análisis y Diseño</w:t>
            </w:r>
          </w:p>
        </w:tc>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ERS; Modelos de Datos y Arquitectura; Mockups; Plan de Calidad y Costos.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traduciremos el problema de negocio en requisitos verificables, modelos, componentes, interfaces, criterios de aceptación, calidad y estimaciones.</w:t>
            </w:r>
          </w:p>
        </w:tc>
      </w:tr>
      <w:tr>
        <w:trPr>
          <w:cantSplit w:val="1"/>
          <w:tblHeader w:val="0"/>
        </w:trPr>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 Construcción</w:t>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Código Fuente y Documentación Interna; Base de Datos y Scripts; Minuta de Control de Programación; Verificación de Alcances.</w:t>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implementaremos, integraremos y registraremos los cambios. La verificación de alcance servirá para comprobar que no se incorporen funcionalidades no aprobadas.</w:t>
            </w:r>
          </w:p>
        </w:tc>
      </w:tr>
      <w:tr>
        <w:trPr>
          <w:cantSplit w:val="1"/>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 Implementación y Cierre</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Plan de Pruebas Final y Reporte de Estatus Final; Plan de Implantación, Soporte y Mantenimiento; Manuales de Usuario y Administrador.</w:t>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validaremos el producto completo, documentaremos el despliegue y dejaremos condiciones básicas para continuidad operacional.</w:t>
            </w:r>
          </w:p>
        </w:tc>
      </w:tr>
    </w:tbl>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2"/>
        <w:rPr/>
      </w:pPr>
      <w:r w:rsidDel="00000000" w:rsidR="00000000" w:rsidRPr="00000000">
        <w:rPr>
          <w:rtl w:val="0"/>
        </w:rPr>
        <w:t xml:space="preserve">2.10 Arquitectura y componentes</w:t>
      </w:r>
    </w:p>
    <w:p w:rsidR="00000000" w:rsidDel="00000000" w:rsidP="00000000" w:rsidRDefault="00000000" w:rsidRPr="00000000" w14:paraId="000000AC">
      <w:pPr>
        <w:spacing w:after="120" w:lineRule="auto"/>
        <w:rPr/>
      </w:pPr>
      <w:r w:rsidDel="00000000" w:rsidR="00000000" w:rsidRPr="00000000">
        <w:rPr>
          <w:rtl w:val="0"/>
        </w:rPr>
        <w:t xml:space="preserve">Nosotros mantendremos una arquitectura por componentes basada en la documentación existente: frontend en React con TypeScript; backend en FastAPI sobre Python 3.12; Firestore como base NoSQL; agentes en contenedores serverless sobre Cloud Run; orquestación mediante Cloud Scheduler y Cloud Tasks; autenticación RBAC con Keycloak usando OIDC/OAuth 2.0 y JWT; IA con Vertex AI y Gemini; y CI/CD con GitHub Actions hacia Cloud Run. Esta arquitectura está descrita en el informe del proyecto. fileciteturn4file0L37-L44</w:t>
      </w:r>
    </w:p>
    <w:tbl>
      <w:tblPr>
        <w:tblStyle w:val="Table7"/>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9"/>
        <w:gridCol w:w="3736"/>
        <w:gridCol w:w="3717"/>
        <w:tblGridChange w:id="0">
          <w:tblGrid>
            <w:gridCol w:w="2169"/>
            <w:gridCol w:w="3736"/>
            <w:gridCol w:w="3717"/>
          </w:tblGrid>
        </w:tblGridChange>
      </w:tblGrid>
      <w:tr>
        <w:trPr>
          <w:cantSplit w:val="1"/>
          <w:tblHeader w:val="1"/>
        </w:trPr>
        <w:tc>
          <w:tcPr>
            <w:shd w:fill="d9e1f2" w:val="clear"/>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Componente</w:t>
            </w:r>
          </w:p>
        </w:tc>
        <w:tc>
          <w:tcPr>
            <w:shd w:fill="d9e1f2" w:val="clear"/>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Responsabilidad en nuestra continuidad</w:t>
            </w:r>
          </w:p>
        </w:tc>
        <w:tc>
          <w:tcPr>
            <w:shd w:fill="d9e1f2" w:val="clear"/>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Controles técnicos</w:t>
            </w:r>
          </w:p>
        </w:tc>
      </w:tr>
      <w:tr>
        <w:trPr>
          <w:cantSplit w:val="1"/>
          <w:tblHeader w:val="0"/>
        </w:trPr>
        <w:tc>
          <w:tcP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Frontend React + TypeScript</w:t>
            </w:r>
          </w:p>
        </w:tc>
        <w:tc>
          <w:tcPr>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Dashboard, alertas, estados, configuración de agentes, login y vistas por rol.</w:t>
            </w:r>
          </w:p>
        </w:tc>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Validaciones de formularios, manejo de errores, estados de carga, pruebas de componentes y E2E cuando corresponda.</w:t>
            </w:r>
          </w:p>
        </w:tc>
      </w:tr>
      <w:tr>
        <w:trPr>
          <w:cantSplit w:val="1"/>
          <w:tblHeader w:val="0"/>
        </w:trPr>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Backend FastAPI</w:t>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 REST, reglas de negocio, autenticación, permisos, integración y servicios internos.</w:t>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Pydantic, validación de inputs, manejo de excepciones, logging, pruebas unitarias e integración.</w:t>
            </w:r>
          </w:p>
        </w:tc>
      </w:tr>
      <w:tr>
        <w:trPr>
          <w:cantSplit w:val="1"/>
          <w:tblHeader w:val="0"/>
        </w:trPr>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Firestore</w:t>
            </w:r>
          </w:p>
        </w:tc>
        <w:tc>
          <w:tcP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Persistencia de usuarios, agentes, configuraciones, alertas y datos funcionales.</w:t>
            </w:r>
          </w:p>
        </w:tc>
        <w:tc>
          <w:tcPr>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Reglas de acceso, validación de estructuras y consultas controladas.</w:t>
            </w:r>
          </w:p>
        </w:tc>
      </w:tr>
      <w:tr>
        <w:trPr>
          <w:cantSplit w:val="1"/>
          <w:tblHeader w:val="0"/>
        </w:trPr>
        <w:tc>
          <w:tcPr>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Cloud Run</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Ejecución de API y agentes en contenedores serverless.</w:t>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Configuración reproducible, variables seguras, logs y despliegue controlado.</w:t>
            </w:r>
          </w:p>
        </w:tc>
      </w:tr>
      <w:tr>
        <w:trPr>
          <w:cantSplit w:val="1"/>
          <w:tblHeader w:val="0"/>
        </w:trPr>
        <w:tc>
          <w:tcPr>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Cloud Scheduler + Cloud Tasks</w:t>
            </w:r>
          </w:p>
        </w:tc>
        <w:tc>
          <w:tcPr>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Programación y ejecución desacoplada de tareas de agentes.</w:t>
            </w:r>
          </w:p>
        </w:tc>
        <w:tc>
          <w:tcPr>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Idempotencia, reintentos, registro de ejecuciones y control de errores.</w:t>
            </w:r>
          </w:p>
        </w:tc>
      </w:tr>
      <w:tr>
        <w:trPr>
          <w:cantSplit w:val="1"/>
          <w:tblHeader w:val="0"/>
        </w:trPr>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Keycloak</w:t>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Autenticación y autorización según rol.</w:t>
            </w:r>
          </w:p>
        </w:tc>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JWT, RBAC, expiración y validación del token en backend.</w:t>
            </w:r>
          </w:p>
        </w:tc>
      </w:tr>
      <w:tr>
        <w:trPr>
          <w:cantSplit w:val="1"/>
          <w:tblHeader w:val="0"/>
        </w:trPr>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Vertex AI / Gemini + embeddings</w:t>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Consultor Veterinario IA y procesamiento de conocimiento.</w:t>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Control de prompts, referencias, validación de salida y registro de fallos.</w:t>
            </w:r>
          </w:p>
        </w:tc>
      </w:tr>
      <w:tr>
        <w:trPr>
          <w:cantSplit w:val="1"/>
          <w:tblHeader w:val="0"/>
        </w:trPr>
        <w:tc>
          <w:tcPr>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GitHub Actions</w:t>
            </w:r>
          </w:p>
        </w:tc>
        <w:tc>
          <w:tcPr>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CI/CD.</w:t>
            </w:r>
          </w:p>
        </w:tc>
        <w:tc>
          <w:tcPr>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Lint, tests, build y despliegue controlado.</w:t>
            </w:r>
          </w:p>
        </w:tc>
      </w:tr>
    </w:tbl>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spacing w:after="120" w:lineRule="auto"/>
        <w:rPr/>
      </w:pPr>
      <w:r w:rsidDel="00000000" w:rsidR="00000000" w:rsidRPr="00000000">
        <w:rPr>
          <w:rtl w:val="0"/>
        </w:rPr>
        <w:t xml:space="preserve">Nosotros respetaremos una separación clara entre presentación, API, persistencia e integración de servicios externos. Esto reducirá el acoplamiento y facilitará pruebas y mantenimiento.</w:t>
      </w:r>
    </w:p>
    <w:p w:rsidR="00000000" w:rsidDel="00000000" w:rsidP="00000000" w:rsidRDefault="00000000" w:rsidRPr="00000000" w14:paraId="000000CA">
      <w:pPr>
        <w:pStyle w:val="Heading2"/>
        <w:rPr/>
      </w:pPr>
      <w:r w:rsidDel="00000000" w:rsidR="00000000" w:rsidRPr="00000000">
        <w:rPr>
          <w:rtl w:val="0"/>
        </w:rPr>
        <w:t xml:space="preserve">2.11 Modelo de datos propuesto</w:t>
      </w:r>
    </w:p>
    <w:p w:rsidR="00000000" w:rsidDel="00000000" w:rsidP="00000000" w:rsidRDefault="00000000" w:rsidRPr="00000000" w14:paraId="000000CB">
      <w:pPr>
        <w:spacing w:after="120" w:lineRule="auto"/>
        <w:rPr/>
      </w:pPr>
      <w:r w:rsidDel="00000000" w:rsidR="00000000" w:rsidRPr="00000000">
        <w:rPr>
          <w:rtl w:val="0"/>
        </w:rPr>
        <w:t xml:space="preserve">Nosotros tomaremos Firestore como base de la plataforma, tal como señala el stack documentado. El siguiente modelo representa las entidades que necesitamos para ordenar nuestra continuidad. Algunas colecciones corresponden al dominio descrito y otras son una propuesta de implementación para asegurar trazabilidad y operación. Cuando no estén confirmadas por el repositorio, nosotros las trataremos como parte del diseño y las validaremos antes de implementarlas.</w:t>
      </w:r>
    </w:p>
    <w:tbl>
      <w:tblPr>
        <w:tblStyle w:val="Table8"/>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8"/>
        <w:gridCol w:w="3738"/>
        <w:gridCol w:w="3676"/>
        <w:tblGridChange w:id="0">
          <w:tblGrid>
            <w:gridCol w:w="2208"/>
            <w:gridCol w:w="3738"/>
            <w:gridCol w:w="3676"/>
          </w:tblGrid>
        </w:tblGridChange>
      </w:tblGrid>
      <w:tr>
        <w:trPr>
          <w:cantSplit w:val="1"/>
          <w:tblHeader w:val="1"/>
        </w:trPr>
        <w:tc>
          <w:tcPr>
            <w:shd w:fill="d9e1f2" w:val="clear"/>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Entidad / colección propuesta</w:t>
            </w:r>
          </w:p>
        </w:tc>
        <w:tc>
          <w:tcPr>
            <w:shd w:fill="d9e1f2" w:val="clear"/>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Datos principales</w:t>
            </w:r>
          </w:p>
        </w:tc>
        <w:tc>
          <w:tcPr>
            <w:shd w:fill="d9e1f2" w:val="clear"/>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Relaciones o uso</w:t>
            </w:r>
          </w:p>
        </w:tc>
      </w:tr>
      <w:tr>
        <w:trPr>
          <w:cantSplit w:val="1"/>
          <w:tblHeader w:val="0"/>
        </w:trPr>
        <w:tc>
          <w:tcPr>
            <w:vAlign w:val="center"/>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users</w:t>
            </w:r>
          </w:p>
        </w:tc>
        <w:tc>
          <w:tcPr>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email, nombre, rol, estado, timestamps</w:t>
            </w:r>
          </w:p>
        </w:tc>
        <w:tc>
          <w:tcPr>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 relaciona con sesiones, alertas y auditoría.</w:t>
            </w:r>
          </w:p>
        </w:tc>
      </w:tr>
      <w:tr>
        <w:trPr>
          <w:cantSplit w:val="1"/>
          <w:tblHeader w:val="0"/>
        </w:trPr>
        <w:tc>
          <w:tcPr>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agents</w:t>
            </w:r>
          </w:p>
        </w:tc>
        <w:tc>
          <w:tcPr>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nombre, tipo, estado, frecuencia, última ejecución</w:t>
            </w:r>
          </w:p>
        </w:tc>
        <w:tc>
          <w:tcPr>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Define configuración y estado operativo.</w:t>
            </w:r>
          </w:p>
        </w:tc>
      </w:tr>
      <w:tr>
        <w:trPr>
          <w:cantSplit w:val="1"/>
          <w:tblHeader w:val="0"/>
        </w:trPr>
        <w:tc>
          <w:tcPr>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agent_runs</w:t>
            </w:r>
          </w:p>
        </w:tc>
        <w:tc>
          <w:tcPr>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agent_id, inicio, fin, estado, error, métricas</w:t>
            </w:r>
          </w:p>
        </w:tc>
        <w:tc>
          <w:tcPr>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Trazabilidad de cada ejecución programada.</w:t>
            </w:r>
          </w:p>
        </w:tc>
      </w:tr>
      <w:tr>
        <w:trPr>
          <w:cantSplit w:val="1"/>
          <w:tblHeader w:val="0"/>
        </w:trPr>
        <w:tc>
          <w:tcPr>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sources</w:t>
            </w:r>
          </w:p>
        </w:tc>
        <w:tc>
          <w:tcPr>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tipo, origen, URL/identificador, estado</w:t>
            </w:r>
          </w:p>
        </w:tc>
        <w:tc>
          <w:tcP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Catálogo de fuentes monitoreadas.</w:t>
            </w:r>
          </w:p>
        </w:tc>
      </w:tr>
      <w:tr>
        <w:trPr>
          <w:cantSplit w:val="1"/>
          <w:tblHeader w:val="0"/>
        </w:trPr>
        <w:tc>
          <w:tcPr>
            <w:vAlign w:val="cente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market_events</w:t>
            </w:r>
          </w:p>
        </w:tc>
        <w:tc>
          <w:tcP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tipo, fuente, fecha, producto/competidor, datos normalizados</w:t>
            </w:r>
          </w:p>
        </w:tc>
        <w:tc>
          <w:tcPr>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Representa cambios detectados por los agentes.</w:t>
            </w:r>
          </w:p>
        </w:tc>
      </w:tr>
      <w:tr>
        <w:trPr>
          <w:cantSplit w:val="1"/>
          <w:tblHeader w:val="0"/>
        </w:trPr>
        <w:tc>
          <w:tcPr>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alerts</w:t>
            </w:r>
          </w:p>
        </w:tc>
        <w:tc>
          <w:tcPr>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evento, criticidad, estado, fecha, destinatarios</w:t>
            </w:r>
          </w:p>
        </w:tc>
        <w:tc>
          <w:tcPr>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Feed central del dashboard.</w:t>
            </w:r>
          </w:p>
        </w:tc>
      </w:tr>
      <w:tr>
        <w:trPr>
          <w:cantSplit w:val="1"/>
          <w:tblHeader w:val="0"/>
        </w:trPr>
        <w:tc>
          <w:tcPr>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products</w:t>
            </w:r>
          </w:p>
        </w:tc>
        <w:tc>
          <w:tcPr>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SKU, nombre, competidor, categoría</w:t>
            </w:r>
          </w:p>
        </w:tc>
        <w:tc>
          <w:tcPr>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Base para benchmarking y análisis.</w:t>
            </w:r>
          </w:p>
        </w:tc>
      </w:tr>
      <w:tr>
        <w:trPr>
          <w:cantSplit w:val="1"/>
          <w:tblHeader w:val="0"/>
        </w:trPr>
        <w:tc>
          <w:tcPr>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price_observations</w:t>
            </w:r>
          </w:p>
        </w:tc>
        <w:tc>
          <w:tcPr>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product_id, fecha, precio, fuente, referencia</w:t>
            </w:r>
          </w:p>
        </w:tc>
        <w:tc>
          <w:tcPr>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Soporta comparación de precios y umbrales.</w:t>
            </w:r>
          </w:p>
        </w:tc>
      </w:tr>
      <w:tr>
        <w:trPr>
          <w:cantSplit w:val="1"/>
          <w:tblHeader w:val="0"/>
        </w:trPr>
        <w:tc>
          <w:tcPr>
            <w:vAlign w:val="cente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consultations</w:t>
            </w:r>
          </w:p>
        </w:tc>
        <w:tc>
          <w:tcPr>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usuario, especie, pregunta, respuesta, referencias, fecha</w:t>
            </w:r>
          </w:p>
        </w:tc>
        <w:tc>
          <w:tcP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Trazabilidad del Consultor Veterinario IA.</w:t>
            </w:r>
          </w:p>
        </w:tc>
      </w:tr>
      <w:tr>
        <w:trPr>
          <w:cantSplit w:val="1"/>
          <w:tblHeader w:val="0"/>
        </w:trPr>
        <w:tc>
          <w:tcPr>
            <w:vAlign w:val="cente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audit_logs</w:t>
            </w:r>
          </w:p>
        </w:tc>
        <w:tc>
          <w:tcP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 usuario, acción, recurso, timestamp, resultado</w:t>
            </w:r>
          </w:p>
        </w:tc>
        <w:tc>
          <w:tcPr>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Registro de acciones relevantes y cambios.</w:t>
            </w:r>
          </w:p>
        </w:tc>
      </w:tr>
    </w:tbl>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spacing w:after="120" w:lineRule="auto"/>
        <w:rPr/>
      </w:pPr>
      <w:r w:rsidDel="00000000" w:rsidR="00000000" w:rsidRPr="00000000">
        <w:rPr>
          <w:rtl w:val="0"/>
        </w:rPr>
        <w:t xml:space="preserve">Nosotros evitaremos duplicar información cuando podamos referenciar entidades por identificadores y mantendremos campos de timestamps y estados para facilitar trazabilidad y métricas.</w:t>
      </w:r>
    </w:p>
    <w:p w:rsidR="00000000" w:rsidDel="00000000" w:rsidP="00000000" w:rsidRDefault="00000000" w:rsidRPr="00000000" w14:paraId="000000EF">
      <w:pPr>
        <w:pStyle w:val="Heading2"/>
        <w:rPr/>
      </w:pPr>
      <w:r w:rsidDel="00000000" w:rsidR="00000000" w:rsidRPr="00000000">
        <w:rPr>
          <w:rtl w:val="0"/>
        </w:rPr>
        <w:t xml:space="preserve">2.12 Requerimientos funcionales y no funcionales</w:t>
      </w:r>
    </w:p>
    <w:p w:rsidR="00000000" w:rsidDel="00000000" w:rsidP="00000000" w:rsidRDefault="00000000" w:rsidRPr="00000000" w14:paraId="000000F0">
      <w:pPr>
        <w:spacing w:after="120" w:lineRule="auto"/>
        <w:rPr/>
      </w:pPr>
      <w:r w:rsidDel="00000000" w:rsidR="00000000" w:rsidRPr="00000000">
        <w:rPr>
          <w:rtl w:val="0"/>
        </w:rPr>
        <w:t xml:space="preserve">Los requerimientos se derivarán de la documentación existente. El informe señala explícitamente funciones de vigilancia ISP, inteligencia aduanera, monitoreo competitivo, benchmarking de precios, un motor de alertas estratégicas y un Consultor Veterinario IA. También define roles Admin, Comercial y Gerencia.</w:t>
      </w:r>
    </w:p>
    <w:tbl>
      <w:tblPr>
        <w:tblStyle w:val="Table9"/>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89"/>
        <w:gridCol w:w="3251"/>
        <w:gridCol w:w="5282"/>
        <w:tblGridChange w:id="0">
          <w:tblGrid>
            <w:gridCol w:w="1089"/>
            <w:gridCol w:w="3251"/>
            <w:gridCol w:w="5282"/>
          </w:tblGrid>
        </w:tblGridChange>
      </w:tblGrid>
      <w:tr>
        <w:trPr>
          <w:cantSplit w:val="1"/>
          <w:tblHeader w:val="1"/>
        </w:trPr>
        <w:tc>
          <w:tcPr>
            <w:shd w:fill="d9e1f2"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w:t>
            </w:r>
          </w:p>
        </w:tc>
        <w:tc>
          <w:tcPr>
            <w:shd w:fill="d9e1f2"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Requerimiento</w:t>
            </w:r>
          </w:p>
        </w:tc>
        <w:tc>
          <w:tcPr>
            <w:shd w:fill="d9e1f2"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Criterio de aceptación resumido</w:t>
            </w:r>
          </w:p>
        </w:tc>
      </w:tr>
      <w:tr>
        <w:trPr>
          <w:cantSplit w:val="1"/>
          <w:tblHeader w:val="0"/>
        </w:trPr>
        <w:tc>
          <w:tcP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RF-01</w:t>
            </w:r>
          </w:p>
        </w:tc>
        <w:tc>
          <w:tcPr>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autenticaremos a los usuarios y aplicaremos RBAC.</w:t>
            </w:r>
          </w:p>
        </w:tc>
        <w:tc>
          <w:tcPr>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Cada rol verá y ejecutará solo las acciones autorizadas.</w:t>
            </w:r>
          </w:p>
        </w:tc>
      </w:tr>
      <w:tr>
        <w:trPr>
          <w:cantSplit w:val="1"/>
          <w:tblHeader w:val="0"/>
        </w:trPr>
        <w:tc>
          <w:tcPr>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RF-02</w:t>
            </w:r>
          </w:p>
        </w:tc>
        <w:tc>
          <w:tcPr>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mostraremos un dashboard de alertas y KPIs.</w:t>
            </w:r>
          </w:p>
        </w:tc>
        <w:tc>
          <w:tcPr>
            <w:vAlign w:val="center"/>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El dashboard consultará los endpoints críticos y reflejará estados válidos.</w:t>
            </w:r>
          </w:p>
        </w:tc>
      </w:tr>
      <w:tr>
        <w:trPr>
          <w:cantSplit w:val="1"/>
          <w:tblHeader w:val="0"/>
        </w:trPr>
        <w:tc>
          <w:tcPr>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RF-03</w:t>
            </w:r>
          </w:p>
        </w:tc>
        <w:tc>
          <w:tcPr>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mostraremos alertas por criticidad rojo/amarillo/verde.</w:t>
            </w:r>
          </w:p>
        </w:tc>
        <w:tc>
          <w:tcPr>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La criticidad será consistente con las reglas configuradas.</w:t>
            </w:r>
          </w:p>
        </w:tc>
      </w:tr>
      <w:tr>
        <w:trPr>
          <w:cantSplit w:val="1"/>
          <w:tblHeader w:val="0"/>
        </w:trPr>
        <w:tc>
          <w:tcPr>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RF-04</w:t>
            </w:r>
          </w:p>
        </w:tc>
        <w:tc>
          <w:tcPr>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configuraremos y monitorearemos agentes.</w:t>
            </w:r>
          </w:p>
        </w:tc>
        <w:tc>
          <w:tcPr>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 podrá consultar estado, última ejecución y configuración permitida.</w:t>
            </w:r>
          </w:p>
        </w:tc>
      </w:tr>
      <w:tr>
        <w:trPr>
          <w:cantSplit w:val="1"/>
          <w:tblHeader w:val="0"/>
        </w:trPr>
        <w:tc>
          <w:tcPr>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RF-05</w:t>
            </w:r>
          </w:p>
        </w:tc>
        <w:tc>
          <w:tcPr>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integraremos dos agentes priorizados.</w:t>
            </w:r>
          </w:p>
        </w:tc>
        <w:tc>
          <w:tcPr>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Cada ejecución generará registros y resultados consumibles por la plataforma.</w:t>
            </w:r>
          </w:p>
        </w:tc>
      </w:tr>
      <w:tr>
        <w:trPr>
          <w:cantSplit w:val="1"/>
          <w:tblHeader w:val="0"/>
        </w:trPr>
        <w:tc>
          <w:tcPr>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RF-06</w:t>
            </w:r>
          </w:p>
        </w:tc>
        <w:tc>
          <w:tcPr>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soportaremos benchmarking de precios según umbral.</w:t>
            </w:r>
          </w:p>
        </w:tc>
        <w:tc>
          <w:tcPr>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Una brecha sobre el umbral definido generará una alerta según regla.</w:t>
            </w:r>
          </w:p>
        </w:tc>
      </w:tr>
      <w:tr>
        <w:trPr>
          <w:cantSplit w:val="1"/>
          <w:tblHeader w:val="0"/>
        </w:trPr>
        <w:tc>
          <w:tcPr>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RF-07</w:t>
            </w:r>
          </w:p>
        </w:tc>
        <w:tc>
          <w:tcPr>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integraremos el Consultor Veterinario IA.</w:t>
            </w:r>
          </w:p>
        </w:tc>
        <w:tc>
          <w:tcPr>
            <w:vAlign w:val="cente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El sistema devolverá respuesta, referencias y filtros según especie.</w:t>
            </w:r>
          </w:p>
        </w:tc>
      </w:tr>
      <w:tr>
        <w:trPr>
          <w:cantSplit w:val="1"/>
          <w:tblHeader w:val="0"/>
        </w:trPr>
        <w:tc>
          <w:tcPr>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RF-08</w:t>
            </w:r>
          </w:p>
        </w:tc>
        <w:tc>
          <w:tcPr>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registraremos errores y ejecuciones.</w:t>
            </w:r>
          </w:p>
        </w:tc>
        <w:tc>
          <w:tcPr>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Los fallos quedarán visibles para diagnóstico y repetición controlada.</w:t>
            </w:r>
          </w:p>
        </w:tc>
      </w:tr>
      <w:tr>
        <w:trPr>
          <w:cantSplit w:val="1"/>
          <w:tblHeader w:val="0"/>
        </w:trPr>
        <w:tc>
          <w:tcPr>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RNF-01</w:t>
            </w:r>
          </w:p>
        </w:tc>
        <w:tc>
          <w:tcPr>
            <w:vAlign w:val="center"/>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Rendimiento</w:t>
            </w:r>
          </w:p>
        </w:tc>
        <w:tc>
          <w:tcPr>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priorizaremos actualización periódica del dashboard; la documentación base plantea actualización cada 60 segundos.</w:t>
            </w:r>
          </w:p>
        </w:tc>
      </w:tr>
      <w:tr>
        <w:trPr>
          <w:cantSplit w:val="1"/>
          <w:tblHeader w:val="0"/>
        </w:trPr>
        <w:tc>
          <w:tcPr>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RNF-02</w:t>
            </w:r>
          </w:p>
        </w:tc>
        <w:tc>
          <w:tcPr>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Seguridad</w:t>
            </w:r>
          </w:p>
        </w:tc>
        <w:tc>
          <w:tcPr>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validaremos JWT, roles, permisos y protección de credenciales.</w:t>
            </w:r>
          </w:p>
        </w:tc>
      </w:tr>
      <w:tr>
        <w:trPr>
          <w:cantSplit w:val="1"/>
          <w:tblHeader w:val="0"/>
        </w:trPr>
        <w:tc>
          <w:tcPr>
            <w:vAlign w:val="center"/>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RNF-03</w:t>
            </w:r>
          </w:p>
        </w:tc>
        <w:tc>
          <w:tcPr>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Mantenibilidad</w:t>
            </w:r>
          </w:p>
        </w:tc>
        <w:tc>
          <w:tcPr>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mantendremos código modular, documentación y CI/CD.</w:t>
            </w:r>
          </w:p>
        </w:tc>
      </w:tr>
      <w:tr>
        <w:trPr>
          <w:cantSplit w:val="1"/>
          <w:tblHeader w:val="0"/>
        </w:trPr>
        <w:tc>
          <w:tcPr>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RNF-04</w:t>
            </w:r>
          </w:p>
        </w:tc>
        <w:tc>
          <w:tcPr>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Trazabilidad</w:t>
            </w:r>
          </w:p>
        </w:tc>
        <w:tc>
          <w:tcPr>
            <w:vAlign w:val="cente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registraremos cambios, ejecuciones y resultados relevantes.</w:t>
            </w:r>
          </w:p>
        </w:tc>
      </w:tr>
      <w:tr>
        <w:trPr>
          <w:cantSplit w:val="1"/>
          <w:tblHeader w:val="0"/>
        </w:trPr>
        <w:tc>
          <w:tcPr>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RNF-05</w:t>
            </w:r>
          </w:p>
        </w:tc>
        <w:tc>
          <w:tcPr>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Escalabilidad</w:t>
            </w:r>
          </w:p>
        </w:tc>
        <w:tc>
          <w:tcPr>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evitaremos diseños que dependan de procesos monolíticos para la ejecución de agentes.</w:t>
            </w:r>
          </w:p>
        </w:tc>
      </w:tr>
    </w:tbl>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pStyle w:val="Heading2"/>
        <w:rPr/>
      </w:pPr>
      <w:r w:rsidDel="00000000" w:rsidR="00000000" w:rsidRPr="00000000">
        <w:rPr>
          <w:rtl w:val="0"/>
        </w:rPr>
        <w:t xml:space="preserve">2.13 Plan de pruebas</w:t>
      </w:r>
    </w:p>
    <w:p w:rsidR="00000000" w:rsidDel="00000000" w:rsidP="00000000" w:rsidRDefault="00000000" w:rsidRPr="00000000" w14:paraId="0000011D">
      <w:pPr>
        <w:spacing w:after="120" w:lineRule="auto"/>
        <w:rPr/>
      </w:pPr>
      <w:r w:rsidDel="00000000" w:rsidR="00000000" w:rsidRPr="00000000">
        <w:rPr>
          <w:rtl w:val="0"/>
        </w:rPr>
        <w:t xml:space="preserve">Nosotros aplicaremos pruebas por niveles. La guía exige diseñar y aplicar pruebas de validación sobre productos y procesos, además de desarrollar mejoras a partir de sus resultados.</w:t>
      </w:r>
    </w:p>
    <w:tbl>
      <w:tblPr>
        <w:tblStyle w:val="Table10"/>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42"/>
        <w:gridCol w:w="4733"/>
        <w:gridCol w:w="3247"/>
        <w:tblGridChange w:id="0">
          <w:tblGrid>
            <w:gridCol w:w="1642"/>
            <w:gridCol w:w="4733"/>
            <w:gridCol w:w="3247"/>
          </w:tblGrid>
        </w:tblGridChange>
      </w:tblGrid>
      <w:tr>
        <w:trPr>
          <w:cantSplit w:val="1"/>
          <w:tblHeader w:val="1"/>
        </w:trPr>
        <w:tc>
          <w:tcPr>
            <w:shd w:fill="d9e1f2" w:val="clear"/>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Nivel</w:t>
            </w:r>
          </w:p>
        </w:tc>
        <w:tc>
          <w:tcPr>
            <w:shd w:fill="d9e1f2" w:val="clear"/>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Qué validaremos</w:t>
            </w:r>
          </w:p>
        </w:tc>
        <w:tc>
          <w:tcPr>
            <w:shd w:fill="d9e1f2" w:val="clear"/>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Evidencia</w:t>
            </w:r>
          </w:p>
        </w:tc>
      </w:tr>
      <w:tr>
        <w:trPr>
          <w:cantSplit w:val="1"/>
          <w:tblHeader w:val="0"/>
        </w:trPr>
        <w:tc>
          <w:tcPr>
            <w:vAlign w:val="center"/>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Unitarias</w:t>
            </w:r>
          </w:p>
        </w:tc>
        <w:tc>
          <w:tcPr>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Reglas de negocio, validadores, funciones de transformación y utilidades.</w:t>
            </w:r>
          </w:p>
        </w:tc>
        <w:tc>
          <w:tcPr>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Resultados automáticos y cobertura de casos relevantes.</w:t>
            </w:r>
          </w:p>
        </w:tc>
      </w:tr>
      <w:tr>
        <w:trPr>
          <w:cantSplit w:val="1"/>
          <w:tblHeader w:val="0"/>
        </w:trPr>
        <w:tc>
          <w:tcPr>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Integración</w:t>
            </w:r>
          </w:p>
        </w:tc>
        <w:tc>
          <w:tcPr>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 Firestore, Keycloak y servicios de agentes.</w:t>
            </w:r>
          </w:p>
        </w:tc>
        <w:tc>
          <w:tcPr>
            <w:vAlign w:val="center"/>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Logs de ejecución, respuestas API y casos exitosos/fallidos.</w:t>
            </w:r>
          </w:p>
        </w:tc>
      </w:tr>
      <w:tr>
        <w:trPr>
          <w:cantSplit w:val="1"/>
          <w:tblHeader w:val="0"/>
        </w:trPr>
        <w:tc>
          <w:tcPr>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w:t>
            </w:r>
          </w:p>
        </w:tc>
        <w:tc>
          <w:tcPr>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Contrato, autenticación, permisos, paginación y estados HTTP.</w:t>
            </w:r>
          </w:p>
        </w:tc>
        <w:tc>
          <w:tcPr>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Colección de pruebas y reporte de ejecución.</w:t>
            </w:r>
          </w:p>
        </w:tc>
      </w:tr>
      <w:tr>
        <w:trPr>
          <w:cantSplit w:val="1"/>
          <w:tblHeader w:val="0"/>
        </w:trPr>
        <w:tc>
          <w:tcPr>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Frontend</w:t>
            </w:r>
          </w:p>
        </w:tc>
        <w:tc>
          <w:tcPr>
            <w:vAlign w:val="center"/>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Login, dashboard, alertas, filtros, roles y errores.</w:t>
            </w:r>
          </w:p>
        </w:tc>
        <w:tc>
          <w:tcPr>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Capturas/evidencias y pruebas automatizadas cuando corresponda.</w:t>
            </w:r>
          </w:p>
        </w:tc>
      </w:tr>
      <w:tr>
        <w:trPr>
          <w:cantSplit w:val="1"/>
          <w:tblHeader w:val="0"/>
        </w:trPr>
        <w:tc>
          <w:tcPr>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End-to-End</w:t>
            </w:r>
          </w:p>
        </w:tc>
        <w:tc>
          <w:tcPr>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sdt>
              <w:sdtPr>
                <w:id w:val="1968644062"/>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18"/>
                    <w:szCs w:val="18"/>
                    <w:u w:val="none"/>
                    <w:shd w:fill="auto" w:val="clear"/>
                    <w:vertAlign w:val="baseline"/>
                    <w:rtl w:val="0"/>
                  </w:rPr>
                  <w:t xml:space="preserve">Flujo usuario → API → dato → alerta → dashboard.</w:t>
                </w:r>
              </w:sdtContent>
            </w:sdt>
          </w:p>
        </w:tc>
        <w:tc>
          <w:tcPr>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Evidencia de flujo completo.</w:t>
            </w:r>
          </w:p>
        </w:tc>
      </w:tr>
      <w:tr>
        <w:trPr>
          <w:cantSplit w:val="1"/>
          <w:tblHeader w:val="0"/>
        </w:trPr>
        <w:tc>
          <w:tcPr>
            <w:vAlign w:val="center"/>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Aceptación</w:t>
            </w:r>
          </w:p>
        </w:tc>
        <w:tc>
          <w:tcPr>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Criterios acordados con contrapartes.</w:t>
            </w:r>
          </w:p>
        </w:tc>
        <w:tc>
          <w:tcPr>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Acta o reporte de aceptación.</w:t>
            </w:r>
          </w:p>
        </w:tc>
      </w:tr>
      <w:tr>
        <w:trPr>
          <w:cantSplit w:val="1"/>
          <w:tblHeader w:val="0"/>
        </w:trPr>
        <w:tc>
          <w:tcPr>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Regresión</w:t>
            </w:r>
          </w:p>
        </w:tc>
        <w:tc>
          <w:tcPr>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Funciones críticas después de cada cambio relevante.</w:t>
            </w:r>
          </w:p>
        </w:tc>
        <w:tc>
          <w:tcPr>
            <w:vAlign w:val="center"/>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Suite repetible y registro de resultados.</w:t>
            </w:r>
          </w:p>
        </w:tc>
      </w:tr>
    </w:tbl>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spacing w:after="120" w:lineRule="auto"/>
        <w:rPr/>
      </w:pPr>
      <w:r w:rsidDel="00000000" w:rsidR="00000000" w:rsidRPr="00000000">
        <w:rPr>
          <w:rtl w:val="0"/>
        </w:rPr>
        <w:t xml:space="preserve">Nosotros utilizaremos datos controlados para pruebas y simularemos fuentes externas cuando sea necesario. También registraremos defectos con severidad, responsable, estado, evidencia y corrección, para demostrar que los resultados de las pruebas producen mejoras reales en el producto.</w:t>
      </w:r>
    </w:p>
    <w:p w:rsidR="00000000" w:rsidDel="00000000" w:rsidP="00000000" w:rsidRDefault="00000000" w:rsidRPr="00000000" w14:paraId="00000138">
      <w:pPr>
        <w:pStyle w:val="Heading2"/>
        <w:rPr/>
      </w:pPr>
      <w:r w:rsidDel="00000000" w:rsidR="00000000" w:rsidRPr="00000000">
        <w:rPr>
          <w:rtl w:val="0"/>
        </w:rPr>
        <w:t xml:space="preserve">2.14 Plan de calidad y costos</w:t>
      </w:r>
    </w:p>
    <w:p w:rsidR="00000000" w:rsidDel="00000000" w:rsidP="00000000" w:rsidRDefault="00000000" w:rsidRPr="00000000" w14:paraId="00000139">
      <w:pPr>
        <w:spacing w:after="120" w:lineRule="auto"/>
        <w:rPr/>
      </w:pPr>
      <w:r w:rsidDel="00000000" w:rsidR="00000000" w:rsidRPr="00000000">
        <w:rPr>
          <w:rtl w:val="0"/>
        </w:rPr>
        <w:t xml:space="preserve">Nosotros controlaremos la calidad con criterios verificables: cumplimiento de requerimientos, ausencia de errores bloqueantes, pruebas ejecutadas, revisión de código, integridad de la integración frontend-backend, seguridad básica y documentación actualizada. Antes de cada hito, nosotros realizaremos una revisión de salida para comprobar que no existan pendientes críticos.</w:t>
      </w:r>
    </w:p>
    <w:tbl>
      <w:tblPr>
        <w:tblStyle w:val="Table11"/>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46"/>
        <w:gridCol w:w="3228"/>
        <w:gridCol w:w="4748"/>
        <w:tblGridChange w:id="0">
          <w:tblGrid>
            <w:gridCol w:w="1646"/>
            <w:gridCol w:w="3228"/>
            <w:gridCol w:w="4748"/>
          </w:tblGrid>
        </w:tblGridChange>
      </w:tblGrid>
      <w:tr>
        <w:trPr>
          <w:cantSplit w:val="1"/>
          <w:tblHeader w:val="1"/>
        </w:trPr>
        <w:tc>
          <w:tcPr>
            <w:shd w:fill="d9e1f2" w:val="clear"/>
            <w:vAlign w:val="center"/>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Área</w:t>
            </w:r>
          </w:p>
        </w:tc>
        <w:tc>
          <w:tcPr>
            <w:shd w:fill="d9e1f2" w:val="clear"/>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Criterio</w:t>
            </w:r>
          </w:p>
        </w:tc>
        <w:tc>
          <w:tcPr>
            <w:shd w:fill="d9e1f2" w:val="clear"/>
            <w:vAlign w:val="center"/>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Cómo controlaremos</w:t>
            </w:r>
          </w:p>
        </w:tc>
      </w:tr>
      <w:tr>
        <w:trPr>
          <w:cantSplit w:val="1"/>
          <w:tblHeader w:val="0"/>
        </w:trPr>
        <w:tc>
          <w:tcPr>
            <w:vAlign w:val="center"/>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Código</w:t>
            </w:r>
          </w:p>
        </w:tc>
        <w:tc>
          <w:tcPr>
            <w:vAlign w:val="cente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Legibilidad, modularidad y consistencia.</w:t>
            </w:r>
          </w:p>
        </w:tc>
        <w:tc>
          <w:tcPr>
            <w:vAlign w:val="cente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Revisión cruzada, lint y convenciones de proyecto.</w:t>
            </w:r>
          </w:p>
        </w:tc>
      </w:tr>
      <w:tr>
        <w:trPr>
          <w:cantSplit w:val="1"/>
          <w:tblHeader w:val="0"/>
        </w:trPr>
        <w:tc>
          <w:tcPr>
            <w:vAlign w:val="cente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API</w:t>
            </w:r>
          </w:p>
        </w:tc>
        <w:tc>
          <w:tcPr>
            <w:vAlign w:val="center"/>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Contrato y errores controlados.</w:t>
            </w:r>
          </w:p>
        </w:tc>
        <w:tc>
          <w:tcP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OpenAPI, pruebas y validación de respuestas.</w:t>
            </w:r>
          </w:p>
        </w:tc>
      </w:tr>
      <w:tr>
        <w:trPr>
          <w:cantSplit w:val="1"/>
          <w:tblHeader w:val="0"/>
        </w:trPr>
        <w:tc>
          <w:tcPr>
            <w:vAlign w:val="center"/>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Datos</w:t>
            </w:r>
          </w:p>
        </w:tc>
        <w:tc>
          <w:tcP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Estructuras coherentes y consultas válidas.</w:t>
            </w:r>
          </w:p>
        </w:tc>
        <w:tc>
          <w:tcP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Validación de esquemas, pruebas y control de duplicados.</w:t>
            </w:r>
          </w:p>
        </w:tc>
      </w:tr>
      <w:tr>
        <w:trPr>
          <w:cantSplit w:val="1"/>
          <w:tblHeader w:val="0"/>
        </w:trPr>
        <w:tc>
          <w:tcP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Seguridad</w:t>
            </w:r>
          </w:p>
        </w:tc>
        <w:tc>
          <w:tcP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Acceso por rol y protección de secretos.</w:t>
            </w:r>
          </w:p>
        </w:tc>
        <w:tc>
          <w:tcPr>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Pruebas negativas y configuración segura.</w:t>
            </w:r>
          </w:p>
        </w:tc>
      </w:tr>
      <w:tr>
        <w:trPr>
          <w:cantSplit w:val="1"/>
          <w:tblHeader w:val="0"/>
        </w:trPr>
        <w:tc>
          <w:tcPr>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UX</w:t>
            </w:r>
          </w:p>
        </w:tc>
        <w:tc>
          <w:tcPr>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Flujos principales claros.</w:t>
            </w:r>
          </w:p>
        </w:tc>
        <w:tc>
          <w:tcPr>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Pruebas de interacción y revisión con criterios del wireframe.</w:t>
            </w:r>
          </w:p>
        </w:tc>
      </w:tr>
      <w:tr>
        <w:trPr>
          <w:cantSplit w:val="1"/>
          <w:tblHeader w:val="0"/>
        </w:trPr>
        <w:tc>
          <w:tcPr>
            <w:vAlign w:val="center"/>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Despliegue</w:t>
            </w:r>
          </w:p>
        </w:tc>
        <w:tc>
          <w:tcPr>
            <w:vAlign w:val="center"/>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Reproducibilidad y trazabilidad.</w:t>
            </w:r>
          </w:p>
        </w:tc>
        <w:tc>
          <w:tcPr>
            <w:vAlign w:val="center"/>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CI/CD, versionado y registro de release.</w:t>
            </w:r>
          </w:p>
        </w:tc>
      </w:tr>
    </w:tbl>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spacing w:after="120" w:lineRule="auto"/>
        <w:rPr/>
      </w:pPr>
      <w:r w:rsidDel="00000000" w:rsidR="00000000" w:rsidRPr="00000000">
        <w:rPr>
          <w:rtl w:val="0"/>
        </w:rPr>
        <w:t xml:space="preserve">En costos, nosotros trabajaremos con una estimación académica basada principalmente en esfuerzo humano y uso de infraestructura ya disponible. No asumiremos tarifas comerciales no definidas en las fuentes. Para control interno utilizaremos horas de trabajo por semana, horas estimadas por entregable y consumo esperado de servicios cloud. Los costos externos que dependan de credenciales o cuentas de Alloxentric serán reportados, pero no inventaremos valores.</w:t>
      </w:r>
    </w:p>
    <w:p w:rsidR="00000000" w:rsidDel="00000000" w:rsidP="00000000" w:rsidRDefault="00000000" w:rsidRPr="00000000" w14:paraId="00000151">
      <w:pPr>
        <w:pStyle w:val="Heading2"/>
        <w:rPr/>
      </w:pPr>
      <w:r w:rsidDel="00000000" w:rsidR="00000000" w:rsidRPr="00000000">
        <w:rPr>
          <w:rtl w:val="0"/>
        </w:rPr>
        <w:t xml:space="preserve">2.15 Gestión de riesgos</w:t>
      </w:r>
    </w:p>
    <w:tbl>
      <w:tblPr>
        <w:tblStyle w:val="Table12"/>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07"/>
        <w:gridCol w:w="1080"/>
        <w:gridCol w:w="1099"/>
        <w:gridCol w:w="4736"/>
        <w:tblGridChange w:id="0">
          <w:tblGrid>
            <w:gridCol w:w="2707"/>
            <w:gridCol w:w="1080"/>
            <w:gridCol w:w="1099"/>
            <w:gridCol w:w="4736"/>
          </w:tblGrid>
        </w:tblGridChange>
      </w:tblGrid>
      <w:tr>
        <w:trPr>
          <w:cantSplit w:val="1"/>
          <w:tblHeader w:val="1"/>
        </w:trPr>
        <w:tc>
          <w:tcPr>
            <w:shd w:fill="d9e1f2" w:val="clear"/>
            <w:vAlign w:val="center"/>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Riesgo</w:t>
            </w:r>
          </w:p>
        </w:tc>
        <w:tc>
          <w:tcPr>
            <w:shd w:fill="d9e1f2" w:val="clear"/>
            <w:vAlign w:val="center"/>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Prob.</w:t>
            </w:r>
          </w:p>
        </w:tc>
        <w:tc>
          <w:tcPr>
            <w:shd w:fill="d9e1f2" w:val="clear"/>
            <w:vAlign w:val="center"/>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Impacto</w:t>
            </w:r>
          </w:p>
        </w:tc>
        <w:tc>
          <w:tcPr>
            <w:shd w:fill="d9e1f2" w:val="clear"/>
            <w:vAlign w:val="center"/>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Respuesta que aplicaremos</w:t>
            </w:r>
          </w:p>
        </w:tc>
      </w:tr>
      <w:tr>
        <w:trPr>
          <w:cantSplit w:val="1"/>
          <w:tblHeader w:val="0"/>
        </w:trPr>
        <w:tc>
          <w:tcPr>
            <w:vAlign w:val="cente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Alcance superior a la capacidad de dos personas</w:t>
            </w:r>
          </w:p>
        </w:tc>
        <w:tc>
          <w:tcPr>
            <w:vAlign w:val="center"/>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Alta</w:t>
            </w:r>
          </w:p>
        </w:tc>
        <w:tc>
          <w:tcPr>
            <w:vAlign w:val="center"/>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Alta</w:t>
            </w:r>
          </w:p>
        </w:tc>
        <w:tc>
          <w:tcPr>
            <w:vAlign w:val="center"/>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mantendremos el alcance reducido y priorizaremos RF críticos.</w:t>
            </w:r>
          </w:p>
        </w:tc>
      </w:tr>
      <w:tr>
        <w:trPr>
          <w:cantSplit w:val="1"/>
          <w:tblHeader w:val="0"/>
        </w:trPr>
        <w:tc>
          <w:tcPr>
            <w:vAlign w:val="center"/>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Dependencia de APIs/servicios externos</w:t>
            </w:r>
          </w:p>
        </w:tc>
        <w:tc>
          <w:tcPr>
            <w:vAlign w:val="center"/>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Media</w:t>
            </w:r>
          </w:p>
        </w:tc>
        <w:tc>
          <w:tcPr>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Alta</w:t>
            </w:r>
          </w:p>
        </w:tc>
        <w:tc>
          <w:tcPr>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Usaremos mocks/stubs, manejo de timeout, reintentos y validación de integración.</w:t>
            </w:r>
          </w:p>
        </w:tc>
      </w:tr>
      <w:tr>
        <w:trPr>
          <w:cantSplit w:val="1"/>
          <w:tblHeader w:val="0"/>
        </w:trPr>
        <w:tc>
          <w:tcPr>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Cambios de requerimientos</w:t>
            </w:r>
          </w:p>
        </w:tc>
        <w:tc>
          <w:tcPr>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Media</w:t>
            </w:r>
          </w:p>
        </w:tc>
        <w:tc>
          <w:tcPr>
            <w:vAlign w:val="cente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Alta</w:t>
            </w:r>
          </w:p>
        </w:tc>
        <w:tc>
          <w:tcPr>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Aplicaremos control de cambios y evaluación de impacto antes de incorporar nuevas funciones.</w:t>
            </w:r>
          </w:p>
        </w:tc>
      </w:tr>
      <w:tr>
        <w:trPr>
          <w:cantSplit w:val="1"/>
          <w:tblHeader w:val="0"/>
        </w:trPr>
        <w:tc>
          <w:tcPr>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Fallas de agentes o scraping</w:t>
            </w:r>
          </w:p>
        </w:tc>
        <w:tc>
          <w:tcPr>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Media</w:t>
            </w:r>
          </w:p>
        </w:tc>
        <w:tc>
          <w:tcPr>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Alta</w:t>
            </w:r>
          </w:p>
        </w:tc>
        <w:tc>
          <w:tcPr>
            <w:vAlign w:val="center"/>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Registraremos ejecuciones, errores y métricas; diseñaremos reintentos y ejecución aislada.</w:t>
            </w:r>
          </w:p>
        </w:tc>
      </w:tr>
      <w:tr>
        <w:trPr>
          <w:cantSplit w:val="1"/>
          <w:tblHeader w:val="0"/>
        </w:trPr>
        <w:tc>
          <w:tcPr>
            <w:vAlign w:val="center"/>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Errores de autenticación/RBAC</w:t>
            </w:r>
          </w:p>
        </w:tc>
        <w:tc>
          <w:tcPr>
            <w:vAlign w:val="cente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Baja</w:t>
            </w:r>
          </w:p>
        </w:tc>
        <w:tc>
          <w:tcPr>
            <w:vAlign w:val="center"/>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Alta</w:t>
            </w:r>
          </w:p>
        </w:tc>
        <w:tc>
          <w:tcPr>
            <w:vAlign w:val="center"/>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Realizaremos pruebas positivas y negativas por rol y rutas protegidas.</w:t>
            </w:r>
          </w:p>
        </w:tc>
      </w:tr>
      <w:tr>
        <w:trPr>
          <w:cantSplit w:val="1"/>
          <w:tblHeader w:val="0"/>
        </w:trPr>
        <w:tc>
          <w:tcPr>
            <w:vAlign w:val="center"/>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Problemas de rendimiento del dashboard</w:t>
            </w:r>
          </w:p>
        </w:tc>
        <w:tc>
          <w:tcPr>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Media</w:t>
            </w:r>
          </w:p>
        </w:tc>
        <w:tc>
          <w:tcP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Media</w:t>
            </w:r>
          </w:p>
        </w:tc>
        <w:tc>
          <w:tcPr>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Reduciremos consultas innecesarias, paginaremos y priorizaremos datos agregados.</w:t>
            </w:r>
          </w:p>
        </w:tc>
      </w:tr>
      <w:tr>
        <w:trPr>
          <w:cantSplit w:val="1"/>
          <w:tblHeader w:val="0"/>
        </w:trPr>
        <w:tc>
          <w:tcPr>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Falta de validación de las contrapartes</w:t>
            </w:r>
          </w:p>
        </w:tc>
        <w:tc>
          <w:tcPr>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Media</w:t>
            </w:r>
          </w:p>
        </w:tc>
        <w:tc>
          <w:tcPr>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Media</w:t>
            </w:r>
          </w:p>
        </w:tc>
        <w:tc>
          <w:tcPr>
            <w:vAlign w:val="center"/>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Programaremos revisiones formales en hitos y actas de aceptación.</w:t>
            </w:r>
          </w:p>
        </w:tc>
      </w:tr>
      <w:tr>
        <w:trPr>
          <w:cantSplit w:val="1"/>
          <w:tblHeader w:val="0"/>
        </w:trPr>
        <w:tc>
          <w:tcPr>
            <w:vAlign w:val="center"/>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Pérdida de información o cambios no trazados</w:t>
            </w:r>
          </w:p>
        </w:tc>
        <w:tc>
          <w:tcPr>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Baja</w:t>
            </w:r>
          </w:p>
        </w:tc>
        <w:tc>
          <w:tcPr>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Alta</w:t>
            </w:r>
          </w:p>
        </w:tc>
        <w:tc>
          <w:tcPr>
            <w:vAlign w:val="center"/>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Git, respaldos y registro de cambios/documentación.</w:t>
            </w:r>
          </w:p>
        </w:tc>
      </w:tr>
    </w:tbl>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pStyle w:val="Heading2"/>
        <w:rPr/>
      </w:pPr>
      <w:r w:rsidDel="00000000" w:rsidR="00000000" w:rsidRPr="00000000">
        <w:rPr>
          <w:rtl w:val="0"/>
        </w:rPr>
        <w:t xml:space="preserve">2.16 Cronograma</w:t>
      </w:r>
    </w:p>
    <w:p w:rsidR="00000000" w:rsidDel="00000000" w:rsidP="00000000" w:rsidRDefault="00000000" w:rsidRPr="00000000" w14:paraId="00000178">
      <w:pPr>
        <w:spacing w:after="120" w:lineRule="auto"/>
        <w:rPr/>
      </w:pPr>
      <w:r w:rsidDel="00000000" w:rsidR="00000000" w:rsidRPr="00000000">
        <w:rPr>
          <w:rtl w:val="0"/>
        </w:rPr>
        <w:t xml:space="preserve">Nosotros organizaremos el proyecto desde el 10 de agosto de 2026, considerando 15 semanas de desarrollo y tres semanas para preparación y entrega final. La guía solicita considerar el tiempo disponible como parte de la factibilidad.</w:t>
      </w:r>
    </w:p>
    <w:tbl>
      <w:tblPr>
        <w:tblStyle w:val="Table13"/>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11"/>
        <w:gridCol w:w="3225"/>
        <w:gridCol w:w="5286"/>
        <w:tblGridChange w:id="0">
          <w:tblGrid>
            <w:gridCol w:w="1111"/>
            <w:gridCol w:w="3225"/>
            <w:gridCol w:w="5286"/>
          </w:tblGrid>
        </w:tblGridChange>
      </w:tblGrid>
      <w:tr>
        <w:trPr>
          <w:cantSplit w:val="1"/>
          <w:tblHeader w:val="1"/>
        </w:trPr>
        <w:tc>
          <w:tcPr>
            <w:shd w:fill="d9e1f2" w:val="clear"/>
            <w:vAlign w:val="center"/>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Semana</w:t>
            </w:r>
          </w:p>
        </w:tc>
        <w:tc>
          <w:tcPr>
            <w:shd w:fill="d9e1f2" w:val="clear"/>
            <w:vAlign w:val="center"/>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Foco principal</w:t>
            </w:r>
          </w:p>
        </w:tc>
        <w:tc>
          <w:tcPr>
            <w:shd w:fill="d9e1f2" w:val="clear"/>
            <w:vAlign w:val="center"/>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Hito / evidencia</w:t>
            </w:r>
          </w:p>
        </w:tc>
      </w:tr>
      <w:tr>
        <w:trPr>
          <w:cantSplit w:val="1"/>
          <w:tblHeader w:val="0"/>
        </w:trPr>
        <w:tc>
          <w:tcPr>
            <w:vAlign w:val="cente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w:t>
            </w:r>
          </w:p>
        </w:tc>
        <w:tc>
          <w:tcPr>
            <w:vAlign w:val="center"/>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Planificación y levantamiento</w:t>
            </w:r>
          </w:p>
        </w:tc>
        <w:tc>
          <w:tcPr>
            <w:vAlign w:val="center"/>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Acta, EDT, Gantt, RACI, riesgos, plan de pruebas inicial.</w:t>
            </w:r>
          </w:p>
        </w:tc>
      </w:tr>
      <w:tr>
        <w:trPr>
          <w:cantSplit w:val="1"/>
          <w:tblHeader w:val="0"/>
        </w:trPr>
        <w:tc>
          <w:tcPr>
            <w:vAlign w:val="center"/>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w:t>
            </w:r>
          </w:p>
        </w:tc>
        <w:tc>
          <w:tcPr>
            <w:vAlign w:val="center"/>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Revisión técnica de continuidad</w:t>
            </w:r>
          </w:p>
        </w:tc>
        <w:tc>
          <w:tcPr>
            <w:vAlign w:val="center"/>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Inventario de repositorio, API y componentes existentes.</w:t>
            </w:r>
          </w:p>
        </w:tc>
      </w:tr>
      <w:tr>
        <w:trPr>
          <w:cantSplit w:val="1"/>
          <w:tblHeader w:val="0"/>
        </w:trPr>
        <w:tc>
          <w:tcPr>
            <w:vAlign w:val="cente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w:t>
            </w:r>
          </w:p>
        </w:tc>
        <w:tc>
          <w:tcPr>
            <w:vAlign w:val="center"/>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ERS y criterios de aceptación</w:t>
            </w:r>
          </w:p>
        </w:tc>
        <w:tc>
          <w:tcPr>
            <w:vAlign w:val="center"/>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Requerimientos aprobados.</w:t>
            </w:r>
          </w:p>
        </w:tc>
      </w:tr>
      <w:tr>
        <w:trPr>
          <w:cantSplit w:val="1"/>
          <w:tblHeader w:val="0"/>
        </w:trPr>
        <w:tc>
          <w:tcPr>
            <w:vAlign w:val="center"/>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w:t>
            </w:r>
          </w:p>
        </w:tc>
        <w:tc>
          <w:tcPr>
            <w:vAlign w:val="center"/>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Arquitectura y modelo de datos</w:t>
            </w:r>
          </w:p>
        </w:tc>
        <w:tc>
          <w:tcPr>
            <w:vAlign w:val="cente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Diseño técnico y decisiones registradas.</w:t>
            </w:r>
          </w:p>
        </w:tc>
      </w:tr>
      <w:tr>
        <w:trPr>
          <w:cantSplit w:val="1"/>
          <w:tblHeader w:val="0"/>
        </w:trPr>
        <w:tc>
          <w:tcPr>
            <w:vAlign w:val="cente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5</w:t>
            </w:r>
          </w:p>
        </w:tc>
        <w:tc>
          <w:tcPr>
            <w:vAlign w:val="center"/>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Mockups y contratos de integración</w:t>
            </w:r>
          </w:p>
        </w:tc>
        <w:tc>
          <w:tcPr>
            <w:vAlign w:val="center"/>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Flujos principales validados.</w:t>
            </w:r>
          </w:p>
        </w:tc>
      </w:tr>
      <w:tr>
        <w:trPr>
          <w:cantSplit w:val="1"/>
          <w:tblHeader w:val="0"/>
        </w:trPr>
        <w:tc>
          <w:tcPr>
            <w:vAlign w:val="center"/>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6</w:t>
            </w:r>
          </w:p>
        </w:tc>
        <w:tc>
          <w:tcPr>
            <w:vAlign w:val="center"/>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Base backend</w:t>
            </w:r>
          </w:p>
        </w:tc>
        <w:tc>
          <w:tcPr>
            <w:vAlign w:val="cente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Endpoints críticos priorizados.</w:t>
            </w:r>
          </w:p>
        </w:tc>
      </w:tr>
      <w:tr>
        <w:trPr>
          <w:cantSplit w:val="1"/>
          <w:tblHeader w:val="0"/>
        </w:trPr>
        <w:tc>
          <w:tcPr>
            <w:vAlign w:val="cente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7</w:t>
            </w:r>
          </w:p>
        </w:tc>
        <w:tc>
          <w:tcPr>
            <w:vAlign w:val="center"/>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Agente 1</w:t>
            </w:r>
          </w:p>
        </w:tc>
        <w:tc>
          <w:tcPr>
            <w:vAlign w:val="center"/>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Integración y pruebas iniciales.</w:t>
            </w:r>
          </w:p>
        </w:tc>
      </w:tr>
      <w:tr>
        <w:trPr>
          <w:cantSplit w:val="1"/>
          <w:tblHeader w:val="0"/>
        </w:trPr>
        <w:tc>
          <w:tcPr>
            <w:vAlign w:val="center"/>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8</w:t>
            </w:r>
          </w:p>
        </w:tc>
        <w:tc>
          <w:tcPr>
            <w:vAlign w:val="center"/>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Agente 2</w:t>
            </w:r>
          </w:p>
        </w:tc>
        <w:tc>
          <w:tcPr>
            <w:vAlign w:val="center"/>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Integración y pruebas iniciales.</w:t>
            </w:r>
          </w:p>
        </w:tc>
      </w:tr>
      <w:tr>
        <w:trPr>
          <w:cantSplit w:val="1"/>
          <w:tblHeader w:val="0"/>
        </w:trPr>
        <w:tc>
          <w:tcPr>
            <w:vAlign w:val="center"/>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9</w:t>
            </w:r>
          </w:p>
        </w:tc>
        <w:tc>
          <w:tcPr>
            <w:vAlign w:val="center"/>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Frontend dashboard</w:t>
            </w:r>
          </w:p>
        </w:tc>
        <w:tc>
          <w:tcPr>
            <w:vAlign w:val="center"/>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Vistas principales conectadas.</w:t>
            </w:r>
          </w:p>
        </w:tc>
      </w:tr>
      <w:tr>
        <w:trPr>
          <w:cantSplit w:val="1"/>
          <w:tblHeader w:val="0"/>
        </w:trPr>
        <w:tc>
          <w:tcPr>
            <w:vAlign w:val="center"/>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10</w:t>
            </w:r>
          </w:p>
        </w:tc>
        <w:tc>
          <w:tcPr>
            <w:vAlign w:val="center"/>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Alertas y RBAC</w:t>
            </w:r>
          </w:p>
        </w:tc>
        <w:tc>
          <w:tcPr>
            <w:vAlign w:val="center"/>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Roles, estados y feed funcional.</w:t>
            </w:r>
          </w:p>
        </w:tc>
      </w:tr>
      <w:tr>
        <w:trPr>
          <w:cantSplit w:val="1"/>
          <w:tblHeader w:val="0"/>
        </w:trPr>
        <w:tc>
          <w:tcPr>
            <w:vAlign w:val="center"/>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11</w:t>
            </w:r>
          </w:p>
        </w:tc>
        <w:tc>
          <w:tcPr>
            <w:vAlign w:val="center"/>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Integración completa</w:t>
            </w:r>
          </w:p>
        </w:tc>
        <w:tc>
          <w:tcPr>
            <w:vAlign w:val="center"/>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Flujo end-to-end principal.</w:t>
            </w:r>
          </w:p>
        </w:tc>
      </w:tr>
      <w:tr>
        <w:trPr>
          <w:cantSplit w:val="1"/>
          <w:tblHeader w:val="0"/>
        </w:trPr>
        <w:tc>
          <w:tcPr>
            <w:vAlign w:val="center"/>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12</w:t>
            </w:r>
          </w:p>
        </w:tc>
        <w:tc>
          <w:tcPr>
            <w:vAlign w:val="center"/>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Calidad y correcciones</w:t>
            </w:r>
          </w:p>
        </w:tc>
        <w:tc>
          <w:tcPr>
            <w:vAlign w:val="center"/>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Pruebas de integración y regresión.</w:t>
            </w:r>
          </w:p>
        </w:tc>
      </w:tr>
      <w:tr>
        <w:trPr>
          <w:cantSplit w:val="1"/>
          <w:tblHeader w:val="0"/>
        </w:trPr>
        <w:tc>
          <w:tcPr>
            <w:vAlign w:val="center"/>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13</w:t>
            </w:r>
          </w:p>
        </w:tc>
        <w:tc>
          <w:tcPr>
            <w:vAlign w:val="center"/>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Estabilización</w:t>
            </w:r>
          </w:p>
        </w:tc>
        <w:tc>
          <w:tcPr>
            <w:vAlign w:val="center"/>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Defectos, rendimiento y observabilidad.</w:t>
            </w:r>
          </w:p>
        </w:tc>
      </w:tr>
      <w:tr>
        <w:trPr>
          <w:cantSplit w:val="1"/>
          <w:tblHeader w:val="0"/>
        </w:trPr>
        <w:tc>
          <w:tcPr>
            <w:vAlign w:val="center"/>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14</w:t>
            </w:r>
          </w:p>
        </w:tc>
        <w:tc>
          <w:tcPr>
            <w:vAlign w:val="center"/>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Documentación</w:t>
            </w:r>
          </w:p>
        </w:tc>
        <w:tc>
          <w:tcPr>
            <w:vAlign w:val="center"/>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Manuales, soporte, despliegue y scripts.</w:t>
            </w:r>
          </w:p>
        </w:tc>
      </w:tr>
      <w:tr>
        <w:trPr>
          <w:cantSplit w:val="1"/>
          <w:tblHeader w:val="0"/>
        </w:trPr>
        <w:tc>
          <w:tcPr>
            <w:vAlign w:val="center"/>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15</w:t>
            </w:r>
          </w:p>
        </w:tc>
        <w:tc>
          <w:tcPr>
            <w:vAlign w:val="center"/>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Cierre de desarrollo</w:t>
            </w:r>
          </w:p>
        </w:tc>
        <w:tc>
          <w:tcPr>
            <w:vAlign w:val="center"/>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Release candidate y verificación de alcance.</w:t>
            </w:r>
          </w:p>
        </w:tc>
      </w:tr>
      <w:tr>
        <w:trPr>
          <w:cantSplit w:val="1"/>
          <w:tblHeader w:val="0"/>
        </w:trPr>
        <w:tc>
          <w:tcPr>
            <w:vAlign w:val="cente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16</w:t>
            </w:r>
          </w:p>
        </w:tc>
        <w:tc>
          <w:tcPr>
            <w:vAlign w:val="center"/>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Preparación final</w:t>
            </w:r>
          </w:p>
        </w:tc>
        <w:tc>
          <w:tcPr>
            <w:vAlign w:val="center"/>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Plan de pruebas final y reporte de estatus.</w:t>
            </w:r>
          </w:p>
        </w:tc>
      </w:tr>
      <w:tr>
        <w:trPr>
          <w:cantSplit w:val="1"/>
          <w:tblHeader w:val="0"/>
        </w:trPr>
        <w:tc>
          <w:tcPr>
            <w:vAlign w:val="cente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17</w:t>
            </w:r>
          </w:p>
        </w:tc>
        <w:tc>
          <w:tcPr>
            <w:vAlign w:val="center"/>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Revisión y evidencias</w:t>
            </w:r>
          </w:p>
        </w:tc>
        <w:tc>
          <w:tcPr>
            <w:vAlign w:val="center"/>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Validación con contrapartes y correcciones finales.</w:t>
            </w:r>
          </w:p>
        </w:tc>
      </w:tr>
      <w:tr>
        <w:trPr>
          <w:cantSplit w:val="1"/>
          <w:tblHeader w:val="0"/>
        </w:trPr>
        <w:tc>
          <w:tcPr>
            <w:vAlign w:val="center"/>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18</w:t>
            </w:r>
          </w:p>
        </w:tc>
        <w:tc>
          <w:tcPr>
            <w:vAlign w:val="center"/>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Entrega</w:t>
            </w:r>
          </w:p>
        </w:tc>
        <w:tc>
          <w:tcPr>
            <w:vAlign w:val="center"/>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Entrega final, manuales y cierre documental.</w:t>
            </w:r>
          </w:p>
        </w:tc>
      </w:tr>
    </w:tbl>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pStyle w:val="Heading2"/>
        <w:rPr/>
      </w:pPr>
      <w:r w:rsidDel="00000000" w:rsidR="00000000" w:rsidRPr="00000000">
        <w:rPr>
          <w:rtl w:val="0"/>
        </w:rPr>
        <w:t xml:space="preserve">2.17 Matriz RACI</w:t>
      </w:r>
    </w:p>
    <w:p w:rsidR="00000000" w:rsidDel="00000000" w:rsidP="00000000" w:rsidRDefault="00000000" w:rsidRPr="00000000" w14:paraId="000001B4">
      <w:pPr>
        <w:spacing w:after="120" w:lineRule="auto"/>
        <w:rPr/>
      </w:pPr>
      <w:r w:rsidDel="00000000" w:rsidR="00000000" w:rsidRPr="00000000">
        <w:rPr>
          <w:rtl w:val="0"/>
        </w:rPr>
        <w:t xml:space="preserve">Nosotros utilizaremos una RACI simple para evitar vacíos de responsabilidad. Las contrapartes participarán principalmente en validación, priorización y aceptación; nosotros mantendremos la ejecución técnica.</w:t>
      </w:r>
    </w:p>
    <w:tbl>
      <w:tblPr>
        <w:tblStyle w:val="Table14"/>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9"/>
        <w:gridCol w:w="1542"/>
        <w:gridCol w:w="1538"/>
        <w:gridCol w:w="1495"/>
        <w:gridCol w:w="1528"/>
        <w:tblGridChange w:id="0">
          <w:tblGrid>
            <w:gridCol w:w="3519"/>
            <w:gridCol w:w="1542"/>
            <w:gridCol w:w="1538"/>
            <w:gridCol w:w="1495"/>
            <w:gridCol w:w="1528"/>
          </w:tblGrid>
        </w:tblGridChange>
      </w:tblGrid>
      <w:tr>
        <w:trPr>
          <w:cantSplit w:val="1"/>
          <w:tblHeader w:val="1"/>
        </w:trPr>
        <w:tc>
          <w:tcPr>
            <w:shd w:fill="d9e1f2" w:val="clear"/>
            <w:vAlign w:val="cente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Actividad</w:t>
            </w:r>
          </w:p>
        </w:tc>
        <w:tc>
          <w:tcPr>
            <w:shd w:fill="d9e1f2" w:val="clear"/>
            <w:vAlign w:val="center"/>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Vicente</w:t>
            </w:r>
          </w:p>
        </w:tc>
        <w:tc>
          <w:tcPr>
            <w:shd w:fill="d9e1f2" w:val="clear"/>
            <w:vAlign w:val="center"/>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Ignacio</w:t>
            </w:r>
          </w:p>
        </w:tc>
        <w:tc>
          <w:tcPr>
            <w:shd w:fill="d9e1f2" w:val="clear"/>
            <w:vAlign w:val="center"/>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Max</w:t>
            </w:r>
          </w:p>
        </w:tc>
        <w:tc>
          <w:tcPr>
            <w:shd w:fill="d9e1f2" w:val="clear"/>
            <w:vAlign w:val="center"/>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Karina</w:t>
            </w:r>
          </w:p>
        </w:tc>
      </w:tr>
      <w:tr>
        <w:trPr>
          <w:cantSplit w:val="1"/>
          <w:tblHeader w:val="0"/>
        </w:trPr>
        <w:tc>
          <w:tcPr>
            <w:vAlign w:val="cente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Acta / alcance</w:t>
            </w:r>
          </w:p>
        </w:tc>
        <w:tc>
          <w:tcPr>
            <w:vAlign w:val="center"/>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w:t>
            </w:r>
          </w:p>
        </w:tc>
        <w:tc>
          <w:tcPr>
            <w:vAlign w:val="cente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r>
        <w:trPr>
          <w:cantSplit w:val="1"/>
          <w:tblHeader w:val="0"/>
        </w:trPr>
        <w:tc>
          <w:tcPr>
            <w:vAlign w:val="center"/>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EDT / Gantt</w:t>
            </w:r>
          </w:p>
        </w:tc>
        <w:tc>
          <w:tcPr>
            <w:vAlign w:val="center"/>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w:t>
            </w:r>
          </w:p>
        </w:tc>
        <w:tc>
          <w:tcPr>
            <w:vAlign w:val="cente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w:t>
            </w:r>
          </w:p>
        </w:tc>
        <w:tc>
          <w:tcPr>
            <w:vAlign w:val="cente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r>
        <w:trPr>
          <w:cantSplit w:val="1"/>
          <w:tblHeader w:val="0"/>
        </w:trPr>
        <w:tc>
          <w:tcPr>
            <w:vAlign w:val="center"/>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ERS</w:t>
            </w:r>
          </w:p>
        </w:tc>
        <w:tc>
          <w:tcPr>
            <w:vAlign w:val="center"/>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w:t>
            </w:r>
          </w:p>
        </w:tc>
        <w:tc>
          <w:tcPr>
            <w:vAlign w:val="center"/>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w:t>
            </w:r>
          </w:p>
        </w:tc>
        <w:tc>
          <w:tcPr>
            <w:vAlign w:val="center"/>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w:t>
            </w:r>
          </w:p>
        </w:tc>
        <w:tc>
          <w:tcPr>
            <w:vAlign w:val="center"/>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r>
        <w:trPr>
          <w:cantSplit w:val="1"/>
          <w:tblHeader w:val="0"/>
        </w:trPr>
        <w:tc>
          <w:tcPr>
            <w:vAlign w:val="center"/>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Arquitectura backend</w:t>
            </w:r>
          </w:p>
        </w:tc>
        <w:tc>
          <w:tcPr>
            <w:vAlign w:val="center"/>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w:t>
            </w:r>
          </w:p>
        </w:tc>
        <w:tc>
          <w:tcPr>
            <w:vAlign w:val="center"/>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r>
        <w:trPr>
          <w:cantSplit w:val="1"/>
          <w:tblHeader w:val="0"/>
        </w:trPr>
        <w:tc>
          <w:tcPr>
            <w:vAlign w:val="center"/>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Diseño frontend</w:t>
            </w:r>
          </w:p>
        </w:tc>
        <w:tc>
          <w:tcPr>
            <w:vAlign w:val="center"/>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w:t>
            </w:r>
          </w:p>
        </w:tc>
        <w:tc>
          <w:tcPr>
            <w:vAlign w:val="center"/>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r>
        <w:trPr>
          <w:cantSplit w:val="1"/>
          <w:tblHeader w:val="0"/>
        </w:trPr>
        <w:tc>
          <w:tcPr>
            <w:vAlign w:val="center"/>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Modelo de datos</w:t>
            </w:r>
          </w:p>
        </w:tc>
        <w:tc>
          <w:tcPr>
            <w:vAlign w:val="center"/>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w:t>
            </w:r>
          </w:p>
        </w:tc>
        <w:tc>
          <w:tcPr>
            <w:vAlign w:val="center"/>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r>
        <w:trPr>
          <w:cantSplit w:val="1"/>
          <w:tblHeader w:val="0"/>
        </w:trPr>
        <w:tc>
          <w:tcPr>
            <w:vAlign w:val="center"/>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Integración de agentes</w:t>
            </w:r>
          </w:p>
        </w:tc>
        <w:tc>
          <w:tcPr>
            <w:vAlign w:val="center"/>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w:t>
            </w:r>
          </w:p>
        </w:tc>
        <w:tc>
          <w:tcPr>
            <w:vAlign w:val="center"/>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r>
        <w:trPr>
          <w:cantSplit w:val="1"/>
          <w:tblHeader w:val="0"/>
        </w:trPr>
        <w:tc>
          <w:tcPr>
            <w:vAlign w:val="center"/>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Dashboard</w:t>
            </w:r>
          </w:p>
        </w:tc>
        <w:tc>
          <w:tcPr>
            <w:vAlign w:val="center"/>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w:t>
            </w:r>
          </w:p>
        </w:tc>
        <w:tc>
          <w:tcPr>
            <w:vAlign w:val="center"/>
          </w:tcPr>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r>
        <w:trPr>
          <w:cantSplit w:val="1"/>
          <w:tblHeader w:val="0"/>
        </w:trPr>
        <w:tc>
          <w:tcPr>
            <w:vAlign w:val="center"/>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Pruebas</w:t>
            </w:r>
          </w:p>
        </w:tc>
        <w:tc>
          <w:tcPr>
            <w:vAlign w:val="center"/>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w:t>
            </w:r>
          </w:p>
        </w:tc>
        <w:tc>
          <w:tcPr>
            <w:vAlign w:val="center"/>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w:t>
            </w:r>
          </w:p>
        </w:tc>
        <w:tc>
          <w:tcPr>
            <w:vAlign w:val="center"/>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w:t>
            </w:r>
          </w:p>
        </w:tc>
        <w:tc>
          <w:tcPr>
            <w:vAlign w:val="center"/>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r>
        <w:trPr>
          <w:cantSplit w:val="1"/>
          <w:tblHeader w:val="0"/>
        </w:trPr>
        <w:tc>
          <w:tcPr>
            <w:vAlign w:val="center"/>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Control de cambios</w:t>
            </w:r>
          </w:p>
        </w:tc>
        <w:tc>
          <w:tcPr>
            <w:vAlign w:val="center"/>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w:t>
            </w:r>
          </w:p>
        </w:tc>
        <w:tc>
          <w:tcPr>
            <w:vAlign w:val="center"/>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w:t>
            </w:r>
          </w:p>
        </w:tc>
        <w:tc>
          <w:tcPr>
            <w:vAlign w:val="center"/>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w:t>
            </w:r>
          </w:p>
        </w:tc>
        <w:tc>
          <w:tcPr>
            <w:vAlign w:val="center"/>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r>
        <w:trPr>
          <w:cantSplit w:val="1"/>
          <w:tblHeader w:val="0"/>
        </w:trPr>
        <w:tc>
          <w:tcPr>
            <w:vAlign w:val="center"/>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Aceptación</w:t>
            </w:r>
          </w:p>
        </w:tc>
        <w:tc>
          <w:tcPr>
            <w:vAlign w:val="center"/>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A/R</w:t>
            </w:r>
          </w:p>
        </w:tc>
        <w:tc>
          <w:tcPr>
            <w:vAlign w:val="center"/>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w:t>
            </w:r>
          </w:p>
        </w:tc>
      </w:tr>
      <w:tr>
        <w:trPr>
          <w:cantSplit w:val="1"/>
          <w:tblHeader w:val="0"/>
        </w:trPr>
        <w:tc>
          <w:tcPr>
            <w:vAlign w:val="center"/>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Documentación final</w:t>
            </w:r>
          </w:p>
        </w:tc>
        <w:tc>
          <w:tcPr>
            <w:vAlign w:val="center"/>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w:t>
            </w:r>
          </w:p>
        </w:tc>
        <w:tc>
          <w:tcPr>
            <w:vAlign w:val="center"/>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w:t>
            </w:r>
          </w:p>
        </w:tc>
        <w:tc>
          <w:tcPr>
            <w:vAlign w:val="center"/>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c>
          <w:tcPr>
            <w:vAlign w:val="center"/>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w:t>
            </w:r>
          </w:p>
        </w:tc>
      </w:tr>
    </w:tbl>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spacing w:after="120" w:lineRule="auto"/>
        <w:rPr/>
      </w:pPr>
      <w:r w:rsidDel="00000000" w:rsidR="00000000" w:rsidRPr="00000000">
        <w:rPr>
          <w:rtl w:val="0"/>
        </w:rPr>
        <w:t xml:space="preserve">A = accountable, R = responsible, C = consulted. Nosotros usaremos esta matriz para asignar responsabilidad sin confundir la ejecución con la aprobación.</w:t>
      </w:r>
    </w:p>
    <w:p w:rsidR="00000000" w:rsidDel="00000000" w:rsidP="00000000" w:rsidRDefault="00000000" w:rsidRPr="00000000" w14:paraId="000001F8">
      <w:pPr>
        <w:pStyle w:val="Heading2"/>
        <w:rPr/>
      </w:pPr>
      <w:r w:rsidDel="00000000" w:rsidR="00000000" w:rsidRPr="00000000">
        <w:rPr>
          <w:rtl w:val="0"/>
        </w:rPr>
        <w:t xml:space="preserve">2.18 Verificación de indicadores de calidad</w:t>
      </w:r>
    </w:p>
    <w:p w:rsidR="00000000" w:rsidDel="00000000" w:rsidP="00000000" w:rsidRDefault="00000000" w:rsidRPr="00000000" w14:paraId="000001F9">
      <w:pPr>
        <w:spacing w:after="120" w:lineRule="auto"/>
        <w:rPr/>
      </w:pPr>
      <w:r w:rsidDel="00000000" w:rsidR="00000000" w:rsidRPr="00000000">
        <w:rPr>
          <w:rtl w:val="0"/>
        </w:rPr>
        <w:t xml:space="preserve">Nosotros estructuraremos nuestra evidencia para cubrir los diez indicadores de calidad de la pauta disciplinaria. La guía solicita demostrar indicadores de pruebas, gestión, datos y desarrollo de software.</w:t>
      </w:r>
    </w:p>
    <w:tbl>
      <w:tblPr>
        <w:tblStyle w:val="Table15"/>
        <w:tblW w:w="962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23"/>
        <w:gridCol w:w="6399"/>
        <w:tblGridChange w:id="0">
          <w:tblGrid>
            <w:gridCol w:w="3223"/>
            <w:gridCol w:w="6399"/>
          </w:tblGrid>
        </w:tblGridChange>
      </w:tblGrid>
      <w:tr>
        <w:trPr>
          <w:cantSplit w:val="1"/>
          <w:tblHeader w:val="1"/>
        </w:trPr>
        <w:tc>
          <w:tcPr>
            <w:shd w:fill="d9e1f2" w:val="clear"/>
            <w:vAlign w:val="center"/>
          </w:tcPr>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Indicador</w:t>
            </w:r>
          </w:p>
        </w:tc>
        <w:tc>
          <w:tcPr>
            <w:shd w:fill="d9e1f2" w:val="clear"/>
            <w:vAlign w:val="center"/>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Cómo demostraremos el cumplimiento</w:t>
            </w:r>
          </w:p>
        </w:tc>
      </w:tr>
      <w:tr>
        <w:trPr>
          <w:cantSplit w:val="1"/>
          <w:tblHeader w:val="0"/>
        </w:trPr>
        <w:tc>
          <w:tcPr>
            <w:vAlign w:val="center"/>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1.1 Diseña pruebas de validación</w:t>
            </w:r>
          </w:p>
        </w:tc>
        <w:tc>
          <w:tcPr>
            <w:vAlign w:val="center"/>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documentaremos estrategia, casos, entradas, salidas esperadas y criterios de aceptación.</w:t>
            </w:r>
          </w:p>
        </w:tc>
      </w:tr>
      <w:tr>
        <w:trPr>
          <w:cantSplit w:val="1"/>
          <w:tblHeader w:val="0"/>
        </w:trPr>
        <w:tc>
          <w:tcPr>
            <w:vAlign w:val="center"/>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1.2 Aplica pruebas de validación</w:t>
            </w:r>
          </w:p>
        </w:tc>
        <w:tc>
          <w:tcPr>
            <w:vAlign w:val="center"/>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ejecutaremos las pruebas y registraremos resultados con evidencia.</w:t>
            </w:r>
          </w:p>
        </w:tc>
      </w:tr>
      <w:tr>
        <w:trPr>
          <w:cantSplit w:val="1"/>
          <w:tblHeader w:val="0"/>
        </w:trPr>
        <w:tc>
          <w:tcPr>
            <w:vAlign w:val="center"/>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1.3 Desarrolla mejoras según resultados</w:t>
            </w:r>
          </w:p>
        </w:tc>
        <w:tc>
          <w:tcPr>
            <w:vAlign w:val="center"/>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corregiremos defectos y dejaremos trazabilidad entre hallazgo y solución.</w:t>
            </w:r>
          </w:p>
        </w:tc>
      </w:tr>
      <w:tr>
        <w:trPr>
          <w:cantSplit w:val="1"/>
          <w:tblHeader w:val="0"/>
        </w:trPr>
        <w:tc>
          <w:tcPr>
            <w:vAlign w:val="center"/>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2.1 Planifica proyectos informáticos</w:t>
            </w:r>
          </w:p>
        </w:tc>
        <w:tc>
          <w:tcPr>
            <w:vAlign w:val="center"/>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mantendremos acta, EDT, Gantt, RACI, riesgos y entregables.</w:t>
            </w:r>
          </w:p>
        </w:tc>
      </w:tr>
      <w:tr>
        <w:trPr>
          <w:cantSplit w:val="1"/>
          <w:tblHeader w:val="0"/>
        </w:trPr>
        <w:tc>
          <w:tcPr>
            <w:vAlign w:val="center"/>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2.2 Controla proyectos informáticos</w:t>
            </w:r>
          </w:p>
        </w:tc>
        <w:tc>
          <w:tcPr>
            <w:vAlign w:val="center"/>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llevaremos minutas, estatus, control de alcance y gestión de cambios.</w:t>
            </w:r>
          </w:p>
        </w:tc>
      </w:tr>
      <w:tr>
        <w:trPr>
          <w:cantSplit w:val="1"/>
          <w:tblHeader w:val="0"/>
        </w:trPr>
        <w:tc>
          <w:tcPr>
            <w:vAlign w:val="center"/>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3.1 Diseña modelos de datos</w:t>
            </w:r>
          </w:p>
        </w:tc>
        <w:tc>
          <w:tcPr>
            <w:vAlign w:val="center"/>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documentaremos entidades, relaciones, reglas y decisiones de persistencia.</w:t>
            </w:r>
          </w:p>
        </w:tc>
      </w:tr>
      <w:tr>
        <w:trPr>
          <w:cantSplit w:val="1"/>
          <w:tblHeader w:val="0"/>
        </w:trPr>
        <w:tc>
          <w:tcPr>
            <w:vAlign w:val="center"/>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3.2 Implementa modelos de datos</w:t>
            </w:r>
          </w:p>
        </w:tc>
        <w:tc>
          <w:tcPr>
            <w:vAlign w:val="center"/>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construiremos las colecciones, validaciones y scripts/configuraciones necesarias.</w:t>
            </w:r>
          </w:p>
        </w:tc>
      </w:tr>
      <w:tr>
        <w:trPr>
          <w:cantSplit w:val="1"/>
          <w:tblHeader w:val="0"/>
        </w:trPr>
        <w:tc>
          <w:tcPr>
            <w:vAlign w:val="center"/>
          </w:tcPr>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4.1 Construye una solución de software</w:t>
            </w:r>
          </w:p>
        </w:tc>
        <w:tc>
          <w:tcPr>
            <w:vAlign w:val="center"/>
          </w:tcPr>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implementaremos la continuidad funcional y documentaremos el código.</w:t>
            </w:r>
          </w:p>
        </w:tc>
      </w:tr>
      <w:tr>
        <w:trPr>
          <w:cantSplit w:val="1"/>
          <w:tblHeader w:val="0"/>
        </w:trPr>
        <w:tc>
          <w:tcPr>
            <w:vAlign w:val="center"/>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4.2 Integra componentes</w:t>
            </w:r>
          </w:p>
        </w:tc>
        <w:tc>
          <w:tcPr>
            <w:vAlign w:val="center"/>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conectaremos frontend, API, persistencia, agentes, autenticación y servicios cloud.</w:t>
            </w:r>
          </w:p>
        </w:tc>
      </w:tr>
      <w:tr>
        <w:trPr>
          <w:cantSplit w:val="1"/>
          <w:tblHeader w:val="0"/>
        </w:trPr>
        <w:tc>
          <w:tcPr>
            <w:vAlign w:val="center"/>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4.3 Implanta una solución</w:t>
            </w:r>
          </w:p>
        </w:tc>
        <w:tc>
          <w:tcPr>
            <w:vAlign w:val="center"/>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Nosotros dejaremos pipeline de despliegue, configuración, manuales y procedimiento de soporte.</w:t>
            </w:r>
          </w:p>
        </w:tc>
      </w:tr>
    </w:tbl>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pStyle w:val="Heading1"/>
        <w:rPr/>
      </w:pPr>
      <w:r w:rsidDel="00000000" w:rsidR="00000000" w:rsidRPr="00000000">
        <w:rPr>
          <w:rtl w:val="0"/>
        </w:rPr>
        <w:t xml:space="preserve">3. Conclusiones (English)</w:t>
      </w:r>
    </w:p>
    <w:p w:rsidR="00000000" w:rsidDel="00000000" w:rsidP="00000000" w:rsidRDefault="00000000" w:rsidRPr="00000000" w14:paraId="00000212">
      <w:pPr>
        <w:spacing w:after="120" w:lineRule="auto"/>
        <w:rPr/>
      </w:pPr>
      <w:r w:rsidDel="00000000" w:rsidR="00000000" w:rsidRPr="00000000">
        <w:rPr>
          <w:rtl w:val="0"/>
        </w:rPr>
        <w:t xml:space="preserve">We conclude that the Intelligent Market project is a feasible and relevant capstone project for us because it combines software engineering, data modeling, API integration, automated processes, security, testing, cloud deployment, and project management. We will not build the platform from scratch. We will continue an existing MVP and work with a reduced scope that focuses on two active agents, a functional dashboard, and critical API integration.</w:t>
      </w:r>
    </w:p>
    <w:p w:rsidR="00000000" w:rsidDel="00000000" w:rsidP="00000000" w:rsidRDefault="00000000" w:rsidRPr="00000000" w14:paraId="00000213">
      <w:pPr>
        <w:spacing w:after="120" w:lineRule="auto"/>
        <w:rPr/>
      </w:pPr>
      <w:r w:rsidDel="00000000" w:rsidR="00000000" w:rsidRPr="00000000">
        <w:rPr>
          <w:rtl w:val="0"/>
        </w:rPr>
        <w:t xml:space="preserve">We also conclude that the project fits our professional interests because Vicente can strengthen backend and integration skills while Ignacio can strengthen frontend and user interface skills. At the same time, we will both participate in architecture, testing, documentation, and project control. This division allows us to work independently when appropriate and together when a change affects the whole system.</w:t>
      </w:r>
    </w:p>
    <w:p w:rsidR="00000000" w:rsidDel="00000000" w:rsidP="00000000" w:rsidRDefault="00000000" w:rsidRPr="00000000" w14:paraId="00000214">
      <w:pPr>
        <w:spacing w:after="120" w:lineRule="auto"/>
        <w:rPr/>
      </w:pPr>
      <w:r w:rsidDel="00000000" w:rsidR="00000000" w:rsidRPr="00000000">
        <w:rPr>
          <w:rtl w:val="0"/>
        </w:rPr>
        <w:t xml:space="preserve">Finally, we consider the project aligned with the capstone learning outcomes because we will plan and control the project, design and implement data models, build and integrate software components, and validate the product through structured testing. Our success criteria will be based on evidence, not only on whether the application runs.</w:t>
      </w:r>
    </w:p>
    <w:p w:rsidR="00000000" w:rsidDel="00000000" w:rsidP="00000000" w:rsidRDefault="00000000" w:rsidRPr="00000000" w14:paraId="00000215">
      <w:pPr>
        <w:pStyle w:val="Heading1"/>
        <w:rPr/>
      </w:pPr>
      <w:r w:rsidDel="00000000" w:rsidR="00000000" w:rsidRPr="00000000">
        <w:rPr>
          <w:rtl w:val="0"/>
        </w:rPr>
        <w:t xml:space="preserve">4. Reflection (English)</w:t>
      </w:r>
    </w:p>
    <w:p w:rsidR="00000000" w:rsidDel="00000000" w:rsidP="00000000" w:rsidRDefault="00000000" w:rsidRPr="00000000" w14:paraId="00000216">
      <w:pPr>
        <w:spacing w:after="120" w:lineRule="auto"/>
        <w:rPr/>
      </w:pPr>
      <w:r w:rsidDel="00000000" w:rsidR="00000000" w:rsidRPr="00000000">
        <w:rPr>
          <w:rtl w:val="0"/>
        </w:rPr>
        <w:t xml:space="preserve">We expect this project to teach us how to make technical decisions under real constraints. Working with an existing product means that we will need to understand previous design decisions before changing them. We will have to distinguish between a real defect, a missing feature, and a request that belongs to a later phase.</w:t>
      </w:r>
    </w:p>
    <w:p w:rsidR="00000000" w:rsidDel="00000000" w:rsidP="00000000" w:rsidRDefault="00000000" w:rsidRPr="00000000" w14:paraId="00000217">
      <w:pPr>
        <w:spacing w:after="120" w:lineRule="auto"/>
        <w:rPr/>
      </w:pPr>
      <w:r w:rsidDel="00000000" w:rsidR="00000000" w:rsidRPr="00000000">
        <w:rPr>
          <w:rtl w:val="0"/>
        </w:rPr>
        <w:t xml:space="preserve">We also expect communication to be as important as implementation. As a two-person team, we cannot separate backend, frontend, testing, and documentation into isolated tasks. We will need shared context, clear agreements, and frequent checks with the counterparts. We will use the project documents to keep that context visible and avoid depending only on informal conversations.</w:t>
      </w:r>
    </w:p>
    <w:p w:rsidR="00000000" w:rsidDel="00000000" w:rsidP="00000000" w:rsidRDefault="00000000" w:rsidRPr="00000000" w14:paraId="00000218">
      <w:pPr>
        <w:spacing w:after="120" w:lineRule="auto"/>
        <w:rPr/>
      </w:pPr>
      <w:r w:rsidDel="00000000" w:rsidR="00000000" w:rsidRPr="00000000">
        <w:rPr>
          <w:rtl w:val="0"/>
        </w:rPr>
        <w:t xml:space="preserve">Our main learning goal is to finish the project with evidence that we can maintain the solution after the academic period. For us, that means readable code, tested flows, documented deployment, clear responsibilities, and enough information for another person to understand what we built and why.</w:t>
      </w:r>
    </w:p>
    <w:p w:rsidR="00000000" w:rsidDel="00000000" w:rsidP="00000000" w:rsidRDefault="00000000" w:rsidRPr="00000000" w14:paraId="00000219">
      <w:pPr>
        <w:pStyle w:val="Heading1"/>
        <w:rPr/>
      </w:pPr>
      <w:r w:rsidDel="00000000" w:rsidR="00000000" w:rsidRPr="00000000">
        <w:rPr>
          <w:rtl w:val="0"/>
        </w:rPr>
        <w:t xml:space="preserve">5. Fuentes y bibliografía</w:t>
      </w:r>
    </w:p>
    <w:p w:rsidR="00000000" w:rsidDel="00000000" w:rsidP="00000000" w:rsidRDefault="00000000" w:rsidRPr="00000000" w14:paraId="0000021A">
      <w:pPr>
        <w:spacing w:after="120" w:lineRule="auto"/>
        <w:rPr/>
      </w:pPr>
      <w:r w:rsidDel="00000000" w:rsidR="00000000" w:rsidRPr="00000000">
        <w:rPr>
          <w:rtl w:val="0"/>
        </w:rPr>
        <w:t xml:space="preserve">Nosotros utilizamos como fuentes principales la guía de evaluación de la Fase 1 y el informe documental del proyecto Inteligencia de Mercado. No incorporamos nombres de desarrolladores anteriores en este informe, porque nuestro equipo académico está compuesto por Vicente Rivera e Ignacio Fuenzalida.</w:t>
      </w:r>
    </w:p>
    <w:p w:rsidR="00000000" w:rsidDel="00000000" w:rsidP="00000000" w:rsidRDefault="00000000" w:rsidRPr="00000000" w14:paraId="0000021B">
      <w:pPr>
        <w:spacing w:after="120" w:lineRule="auto"/>
        <w:rPr/>
      </w:pPr>
      <w:r w:rsidDel="00000000" w:rsidR="00000000" w:rsidRPr="00000000">
        <w:rPr>
          <w:rtl w:val="0"/>
        </w:rPr>
        <w:t xml:space="preserve">1. Documento de Alcance Reducido para Enci-Intel, incluido en la fuente anterior. Fuente utilizada para la priorización de dos agentes, dashboard y endpoints críticos.</w:t>
      </w:r>
    </w:p>
    <w:p w:rsidR="00000000" w:rsidDel="00000000" w:rsidP="00000000" w:rsidRDefault="00000000" w:rsidRPr="00000000" w14:paraId="0000021C">
      <w:pPr>
        <w:pStyle w:val="Heading1"/>
        <w:rPr/>
      </w:pPr>
      <w:r w:rsidDel="00000000" w:rsidR="00000000" w:rsidRPr="00000000">
        <w:rPr>
          <w:rtl w:val="0"/>
        </w:rPr>
        <w:t xml:space="preserve">6. Anexo de evidencia</w:t>
      </w:r>
    </w:p>
    <w:p w:rsidR="00000000" w:rsidDel="00000000" w:rsidP="00000000" w:rsidRDefault="00000000" w:rsidRPr="00000000" w14:paraId="0000021D">
      <w:pPr>
        <w:spacing w:after="120" w:lineRule="auto"/>
        <w:rPr/>
      </w:pPr>
      <w:r w:rsidDel="00000000" w:rsidR="00000000" w:rsidRPr="00000000">
        <w:rPr>
          <w:rtl w:val="0"/>
        </w:rPr>
        <w:t xml:space="preserve">Nosotros dejaremos como evidencia del desarrollo los siguientes elementos, según disponibilidad y permisos del entorno de trabajo:</w:t>
      </w:r>
    </w:p>
    <w:p w:rsidR="00000000" w:rsidDel="00000000" w:rsidP="00000000" w:rsidRDefault="00000000" w:rsidRPr="00000000" w14:paraId="00000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Acta de constitución y control de cambios del proyecto.</w:t>
      </w:r>
    </w:p>
    <w:p w:rsidR="00000000" w:rsidDel="00000000" w:rsidP="00000000" w:rsidRDefault="00000000" w:rsidRPr="00000000" w14:paraId="00000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EDT, carta Gantt, RACI y matriz de riesgos actualizados.</w:t>
      </w:r>
    </w:p>
    <w:p w:rsidR="00000000" w:rsidDel="00000000" w:rsidP="00000000" w:rsidRDefault="00000000" w:rsidRPr="00000000" w14:paraId="000002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ERS, criterios de aceptación y decisiones técnicas.</w:t>
      </w:r>
    </w:p>
    <w:p w:rsidR="00000000" w:rsidDel="00000000" w:rsidP="00000000" w:rsidRDefault="00000000" w:rsidRPr="00000000" w14:paraId="000002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Mockups y evidencia de implementación del dashboard.</w:t>
      </w:r>
    </w:p>
    <w:p w:rsidR="00000000" w:rsidDel="00000000" w:rsidP="00000000" w:rsidRDefault="00000000" w:rsidRPr="00000000" w14:paraId="000002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Código fuente, ramas, pull requests y documentación interna.</w:t>
      </w:r>
    </w:p>
    <w:p w:rsidR="00000000" w:rsidDel="00000000" w:rsidP="00000000" w:rsidRDefault="00000000" w:rsidRPr="00000000" w14:paraId="000002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Pruebas unitarias, de integración, API y end-to-end con resultados.</w:t>
      </w:r>
    </w:p>
    <w:p w:rsidR="00000000" w:rsidDel="00000000" w:rsidP="00000000" w:rsidRDefault="00000000" w:rsidRPr="00000000" w14:paraId="000002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Capturas del dashboard, alertas, configuración de agentes y control por roles.</w:t>
      </w:r>
    </w:p>
    <w:p w:rsidR="00000000" w:rsidDel="00000000" w:rsidP="00000000" w:rsidRDefault="00000000" w:rsidRPr="00000000" w14:paraId="000002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Logs o reportes de ejecución de agentes y validación de errores.</w:t>
      </w:r>
    </w:p>
    <w:p w:rsidR="00000000" w:rsidDel="00000000" w:rsidP="00000000" w:rsidRDefault="00000000" w:rsidRPr="00000000" w14:paraId="000002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 de implantación, manual de usuario, manual de administrador y procedimiento de soporte.</w:t>
      </w:r>
    </w:p>
    <w:p w:rsidR="00000000" w:rsidDel="00000000" w:rsidP="00000000" w:rsidRDefault="00000000" w:rsidRPr="00000000" w14:paraId="000002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Reporte de estatus final y acta de entrega.</w:t>
      </w:r>
    </w:p>
    <w:p w:rsidR="00000000" w:rsidDel="00000000" w:rsidP="00000000" w:rsidRDefault="00000000" w:rsidRPr="00000000" w14:paraId="00000228">
      <w:pPr>
        <w:spacing w:after="120" w:lineRule="auto"/>
        <w:rPr/>
      </w:pPr>
      <w:r w:rsidDel="00000000" w:rsidR="00000000" w:rsidRPr="00000000">
        <w:rPr>
          <w:rtl w:val="0"/>
        </w:rPr>
        <w:t xml:space="preserve">Nota de alcance documental: cuando una decisión de arquitectura o una entidad de datos no esté explícitamente definida en la documentación base, nosotros la presentaremos como propuesta de continuidad y la validaremos antes de implementarla. De esta forma evitaremos tratar como hecho una decisión que todavía requiere aprobación.</w:t>
      </w:r>
    </w:p>
    <w:sectPr>
      <w:headerReference r:id="rId7" w:type="default"/>
      <w:footerReference r:id="rId8" w:type="default"/>
      <w:pgSz w:h="15840" w:w="12240" w:orient="portrait"/>
      <w:pgMar w:bottom="1247" w:top="1247"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Ingeniería en Informática - Duoc UC Plaza Norte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APT - Proyecto Inteligencia de Mercado | Alloxentric / Encipharm</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-634</wp:posOffset>
          </wp:positionH>
          <wp:positionV relativeFrom="paragraph">
            <wp:posOffset>-281939</wp:posOffset>
          </wp:positionV>
          <wp:extent cx="1706880" cy="419100"/>
          <wp:effectExtent b="0" l="0" r="0" t="0"/>
          <wp:wrapSquare wrapText="bothSides" distB="0" distT="0" distL="114300" distR="114300"/>
          <wp:docPr id="89201616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06880" cy="4191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44"/>
      <w:szCs w:val="44"/>
    </w:rPr>
  </w:style>
  <w:style w:type="paragraph" w:styleId="Ttulo7">
    <w:name w:val="heading 7"/>
    <w:basedOn w:val="Normal"/>
    <w:next w:val="Normal"/>
    <w:link w:val="Ttulo7C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Ttulo8">
    <w:name w:val="heading 8"/>
    <w:basedOn w:val="Normal"/>
    <w:next w:val="Normal"/>
    <w:link w:val="Ttulo8C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Ttulo9">
    <w:name w:val="heading 9"/>
    <w:basedOn w:val="Normal"/>
    <w:next w:val="Normal"/>
    <w:link w:val="Ttulo9C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E618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val="1"/>
    <w:rsid w:val="00E618BF"/>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val="1"/>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FC693F"/>
    <w:rPr>
      <w:rFonts w:asciiTheme="majorHAnsi" w:cstheme="majorBidi" w:eastAsiaTheme="majorEastAsia" w:hAnsiTheme="majorHAnsi"/>
      <w:b w:val="1"/>
      <w:bCs w:val="1"/>
      <w:color w:val="4f81bd" w:themeColor="accent1"/>
      <w:sz w:val="26"/>
      <w:szCs w:val="26"/>
    </w:rPr>
  </w:style>
  <w:style w:type="character" w:styleId="Ttulo3Car" w:customStyle="1">
    <w:name w:val="Título 3 Car"/>
    <w:basedOn w:val="Fuentedeprrafopredeter"/>
    <w:link w:val="Ttulo3"/>
    <w:uiPriority w:val="9"/>
    <w:rsid w:val="00FC693F"/>
    <w:rPr>
      <w:rFonts w:asciiTheme="majorHAnsi" w:cstheme="majorBidi" w:eastAsiaTheme="majorEastAsia" w:hAnsiTheme="majorHAnsi"/>
      <w:b w:val="1"/>
      <w:bCs w:val="1"/>
      <w:color w:val="4f81bd" w:themeColor="accent1"/>
    </w:rPr>
  </w:style>
  <w:style w:type="character" w:styleId="TtuloCar" w:customStyle="1">
    <w:name w:val="Título Car"/>
    <w:basedOn w:val="Fuentedeprrafopredeter"/>
    <w:link w:val="Ttulo"/>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tuloCar" w:customStyle="1">
    <w:name w:val="Subtítulo Car"/>
    <w:basedOn w:val="Fuentedeprrafopredeter"/>
    <w:link w:val="Subttulo"/>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Prrafodelista">
    <w:name w:val="List Paragraph"/>
    <w:basedOn w:val="Normal"/>
    <w:uiPriority w:val="34"/>
    <w:qFormat w:val="1"/>
    <w:rsid w:val="00FC693F"/>
    <w:pPr>
      <w:ind w:left="720"/>
      <w:contextualSpacing w:val="1"/>
    </w:pPr>
  </w:style>
  <w:style w:type="paragraph" w:styleId="Textoindependiente">
    <w:name w:val="Body Text"/>
    <w:basedOn w:val="Normal"/>
    <w:link w:val="TextoindependienteCar"/>
    <w:uiPriority w:val="99"/>
    <w:unhideWhenUsed w:val="1"/>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val="1"/>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val="1"/>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val="1"/>
    <w:rsid w:val="00AA1D8D"/>
    <w:pPr>
      <w:ind w:left="360" w:hanging="360"/>
      <w:contextualSpacing w:val="1"/>
    </w:pPr>
  </w:style>
  <w:style w:type="paragraph" w:styleId="Lista2">
    <w:name w:val="List 2"/>
    <w:basedOn w:val="Normal"/>
    <w:uiPriority w:val="99"/>
    <w:unhideWhenUsed w:val="1"/>
    <w:rsid w:val="00326F90"/>
    <w:pPr>
      <w:ind w:left="720" w:hanging="360"/>
      <w:contextualSpacing w:val="1"/>
    </w:pPr>
  </w:style>
  <w:style w:type="paragraph" w:styleId="Lista3">
    <w:name w:val="List 3"/>
    <w:basedOn w:val="Normal"/>
    <w:uiPriority w:val="99"/>
    <w:unhideWhenUsed w:val="1"/>
    <w:rsid w:val="00326F90"/>
    <w:pPr>
      <w:ind w:left="1080" w:hanging="360"/>
      <w:contextualSpacing w:val="1"/>
    </w:pPr>
  </w:style>
  <w:style w:type="paragraph" w:styleId="Listaconvietas">
    <w:name w:val="List Bullet"/>
    <w:basedOn w:val="Normal"/>
    <w:uiPriority w:val="99"/>
    <w:unhideWhenUsed w:val="1"/>
    <w:rsid w:val="00326F90"/>
    <w:pPr>
      <w:numPr>
        <w:numId w:val="1"/>
      </w:numPr>
      <w:contextualSpacing w:val="1"/>
    </w:pPr>
  </w:style>
  <w:style w:type="paragraph" w:styleId="Listaconvietas2">
    <w:name w:val="List Bullet 2"/>
    <w:basedOn w:val="Normal"/>
    <w:uiPriority w:val="99"/>
    <w:unhideWhenUsed w:val="1"/>
    <w:rsid w:val="00326F90"/>
    <w:pPr>
      <w:numPr>
        <w:numId w:val="2"/>
      </w:numPr>
      <w:contextualSpacing w:val="1"/>
    </w:pPr>
  </w:style>
  <w:style w:type="paragraph" w:styleId="Listaconvietas3">
    <w:name w:val="List Bullet 3"/>
    <w:basedOn w:val="Normal"/>
    <w:uiPriority w:val="99"/>
    <w:unhideWhenUsed w:val="1"/>
    <w:rsid w:val="00326F90"/>
    <w:pPr>
      <w:numPr>
        <w:numId w:val="3"/>
      </w:numPr>
      <w:contextualSpacing w:val="1"/>
    </w:pPr>
  </w:style>
  <w:style w:type="paragraph" w:styleId="Listaconnmeros">
    <w:name w:val="List Number"/>
    <w:basedOn w:val="Normal"/>
    <w:uiPriority w:val="99"/>
    <w:unhideWhenUsed w:val="1"/>
    <w:rsid w:val="00326F90"/>
    <w:pPr>
      <w:numPr>
        <w:numId w:val="5"/>
      </w:numPr>
      <w:contextualSpacing w:val="1"/>
    </w:pPr>
  </w:style>
  <w:style w:type="paragraph" w:styleId="Listaconnmeros2">
    <w:name w:val="List Number 2"/>
    <w:basedOn w:val="Normal"/>
    <w:uiPriority w:val="99"/>
    <w:unhideWhenUsed w:val="1"/>
    <w:rsid w:val="0029639D"/>
    <w:pPr>
      <w:numPr>
        <w:numId w:val="6"/>
      </w:numPr>
      <w:contextualSpacing w:val="1"/>
    </w:pPr>
  </w:style>
  <w:style w:type="paragraph" w:styleId="Listaconnmeros3">
    <w:name w:val="List Number 3"/>
    <w:basedOn w:val="Normal"/>
    <w:uiPriority w:val="99"/>
    <w:unhideWhenUsed w:val="1"/>
    <w:rsid w:val="0029639D"/>
    <w:pPr>
      <w:numPr>
        <w:numId w:val="7"/>
      </w:numPr>
      <w:contextualSpacing w:val="1"/>
    </w:pPr>
  </w:style>
  <w:style w:type="paragraph" w:styleId="Continuarlista">
    <w:name w:val="List Continue"/>
    <w:basedOn w:val="Normal"/>
    <w:uiPriority w:val="99"/>
    <w:unhideWhenUsed w:val="1"/>
    <w:rsid w:val="0029639D"/>
    <w:pPr>
      <w:spacing w:after="120"/>
      <w:ind w:left="360"/>
      <w:contextualSpacing w:val="1"/>
    </w:pPr>
  </w:style>
  <w:style w:type="paragraph" w:styleId="Continuarlista2">
    <w:name w:val="List Continue 2"/>
    <w:basedOn w:val="Normal"/>
    <w:uiPriority w:val="99"/>
    <w:unhideWhenUsed w:val="1"/>
    <w:rsid w:val="0029639D"/>
    <w:pPr>
      <w:spacing w:after="120"/>
      <w:ind w:left="720"/>
      <w:contextualSpacing w:val="1"/>
    </w:pPr>
  </w:style>
  <w:style w:type="paragraph" w:styleId="Continuarlista3">
    <w:name w:val="List Continue 3"/>
    <w:basedOn w:val="Normal"/>
    <w:uiPriority w:val="99"/>
    <w:unhideWhenUsed w:val="1"/>
    <w:rsid w:val="0029639D"/>
    <w:pPr>
      <w:spacing w:after="120"/>
      <w:ind w:left="1080"/>
      <w:contextualSpacing w:val="1"/>
    </w:pPr>
  </w:style>
  <w:style w:type="paragraph" w:styleId="Textomacro">
    <w:name w:val="macro"/>
    <w:link w:val="TextomacroC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val="1"/>
    <w:rsid w:val="00FC693F"/>
    <w:rPr>
      <w:i w:val="1"/>
      <w:iCs w:val="1"/>
      <w:color w:val="000000" w:themeColor="text1"/>
    </w:rPr>
  </w:style>
  <w:style w:type="character" w:styleId="CitaCar" w:customStyle="1">
    <w:name w:val="Cita Car"/>
    <w:basedOn w:val="Fuentedeprrafopredeter"/>
    <w:link w:val="Cita"/>
    <w:uiPriority w:val="29"/>
    <w:rsid w:val="00FC693F"/>
    <w:rPr>
      <w:i w:val="1"/>
      <w:iCs w:val="1"/>
      <w:color w:val="000000" w:themeColor="text1"/>
    </w:rPr>
  </w:style>
  <w:style w:type="character" w:styleId="Ttulo4Car" w:customStyle="1">
    <w:name w:val="Título 4 Car"/>
    <w:basedOn w:val="Fuentedeprrafopredeter"/>
    <w:link w:val="Ttulo4"/>
    <w:uiPriority w:val="9"/>
    <w:semiHidden w:val="1"/>
    <w:rsid w:val="00FC693F"/>
    <w:rPr>
      <w:rFonts w:asciiTheme="majorHAnsi" w:cstheme="majorBidi" w:eastAsiaTheme="majorEastAsia" w:hAnsiTheme="majorHAnsi"/>
      <w:b w:val="1"/>
      <w:bCs w:val="1"/>
      <w:i w:val="1"/>
      <w:iCs w:val="1"/>
      <w:color w:val="4f81bd" w:themeColor="accent1"/>
    </w:rPr>
  </w:style>
  <w:style w:type="character" w:styleId="Ttulo5Car" w:customStyle="1">
    <w:name w:val="Título 5 Car"/>
    <w:basedOn w:val="Fuentedeprrafopredeter"/>
    <w:link w:val="Ttulo5"/>
    <w:uiPriority w:val="9"/>
    <w:semiHidden w:val="1"/>
    <w:rsid w:val="00FC693F"/>
    <w:rPr>
      <w:rFonts w:asciiTheme="majorHAnsi" w:cstheme="majorBidi" w:eastAsiaTheme="majorEastAsia" w:hAnsiTheme="majorHAnsi"/>
      <w:color w:val="243f60" w:themeColor="accent1" w:themeShade="00007F"/>
    </w:rPr>
  </w:style>
  <w:style w:type="character" w:styleId="Ttulo6Car" w:customStyle="1">
    <w:name w:val="Título 6 Car"/>
    <w:basedOn w:val="Fuentedeprrafopredeter"/>
    <w:link w:val="Ttulo6"/>
    <w:uiPriority w:val="9"/>
    <w:semiHidden w:val="1"/>
    <w:rsid w:val="00FC693F"/>
    <w:rPr>
      <w:rFonts w:asciiTheme="majorHAnsi" w:cstheme="majorBidi" w:eastAsiaTheme="majorEastAsia" w:hAnsiTheme="majorHAnsi"/>
      <w:i w:val="1"/>
      <w:iCs w:val="1"/>
      <w:color w:val="243f60" w:themeColor="accent1" w:themeShade="00007F"/>
    </w:rPr>
  </w:style>
  <w:style w:type="character" w:styleId="Ttulo7Car" w:customStyle="1">
    <w:name w:val="Título 7 Car"/>
    <w:basedOn w:val="Fuentedeprrafopredeter"/>
    <w:link w:val="Ttulo7"/>
    <w:uiPriority w:val="9"/>
    <w:semiHidden w:val="1"/>
    <w:rsid w:val="00FC693F"/>
    <w:rPr>
      <w:rFonts w:asciiTheme="majorHAnsi" w:cstheme="majorBidi" w:eastAsiaTheme="majorEastAsia" w:hAnsiTheme="majorHAnsi"/>
      <w:i w:val="1"/>
      <w:iCs w:val="1"/>
      <w:color w:val="404040" w:themeColor="text1" w:themeTint="0000BF"/>
    </w:rPr>
  </w:style>
  <w:style w:type="character" w:styleId="Ttulo8Car" w:customStyle="1">
    <w:name w:val="Título 8 Car"/>
    <w:basedOn w:val="Fuentedeprrafopredeter"/>
    <w:link w:val="Ttulo8"/>
    <w:uiPriority w:val="9"/>
    <w:semiHidden w:val="1"/>
    <w:rsid w:val="00FC693F"/>
    <w:rPr>
      <w:rFonts w:asciiTheme="majorHAnsi" w:cstheme="majorBidi" w:eastAsiaTheme="majorEastAsia" w:hAnsiTheme="majorHAnsi"/>
      <w:color w:val="4f81bd" w:themeColor="accent1"/>
      <w:sz w:val="20"/>
      <w:szCs w:val="20"/>
    </w:rPr>
  </w:style>
  <w:style w:type="character" w:styleId="Ttulo9Car" w:customStyle="1">
    <w:name w:val="Título 9 Car"/>
    <w:basedOn w:val="Fuentedeprrafopredeter"/>
    <w:link w:val="Ttulo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Descripci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Fuerte">
    <w:name w:val="Strong"/>
    <w:basedOn w:val="Fuentedeprrafopredeter"/>
    <w:uiPriority w:val="22"/>
    <w:qFormat w:val="1"/>
    <w:rsid w:val="00FC693F"/>
    <w:rPr>
      <w:b w:val="1"/>
      <w:bCs w:val="1"/>
    </w:rPr>
  </w:style>
  <w:style w:type="character" w:styleId="nfasis">
    <w:name w:val="Emphasis"/>
    <w:basedOn w:val="Fuentedeprrafopredeter"/>
    <w:uiPriority w:val="20"/>
    <w:qFormat w:val="1"/>
    <w:rsid w:val="00FC693F"/>
    <w:rPr>
      <w:i w:val="1"/>
      <w:iCs w:val="1"/>
    </w:rPr>
  </w:style>
  <w:style w:type="paragraph" w:styleId="Citadestacada">
    <w:name w:val="Intense Quote"/>
    <w:basedOn w:val="Normal"/>
    <w:next w:val="Normal"/>
    <w:link w:val="CitadestacadaC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CitadestacadaCar" w:customStyle="1">
    <w:name w:val="Cita destacada Car"/>
    <w:basedOn w:val="Fuentedeprrafopredeter"/>
    <w:link w:val="Citadestacada"/>
    <w:uiPriority w:val="30"/>
    <w:rsid w:val="00FC693F"/>
    <w:rPr>
      <w:b w:val="1"/>
      <w:bCs w:val="1"/>
      <w:i w:val="1"/>
      <w:iCs w:val="1"/>
      <w:color w:val="4f81bd" w:themeColor="accent1"/>
    </w:rPr>
  </w:style>
  <w:style w:type="character" w:styleId="nfasissutil">
    <w:name w:val="Subtle Emphasis"/>
    <w:basedOn w:val="Fuentedeprrafopredeter"/>
    <w:uiPriority w:val="19"/>
    <w:qFormat w:val="1"/>
    <w:rsid w:val="00FC693F"/>
    <w:rPr>
      <w:i w:val="1"/>
      <w:iCs w:val="1"/>
      <w:color w:val="808080" w:themeColor="text1" w:themeTint="00007F"/>
    </w:rPr>
  </w:style>
  <w:style w:type="character" w:styleId="nfasisintenso">
    <w:name w:val="Intense Emphasis"/>
    <w:basedOn w:val="Fuentedeprrafopredeter"/>
    <w:uiPriority w:val="21"/>
    <w:qFormat w:val="1"/>
    <w:rsid w:val="00FC693F"/>
    <w:rPr>
      <w:b w:val="1"/>
      <w:bCs w:val="1"/>
      <w:i w:val="1"/>
      <w:iCs w:val="1"/>
      <w:color w:val="4f81bd" w:themeColor="accent1"/>
    </w:rPr>
  </w:style>
  <w:style w:type="character" w:styleId="Referenciasutil">
    <w:name w:val="Subtle Reference"/>
    <w:basedOn w:val="Fuentedeprrafopredeter"/>
    <w:uiPriority w:val="31"/>
    <w:qFormat w:val="1"/>
    <w:rsid w:val="00FC693F"/>
    <w:rPr>
      <w:smallCaps w:val="1"/>
      <w:color w:val="c0504d" w:themeColor="accent2"/>
      <w:u w:val="single"/>
    </w:rPr>
  </w:style>
  <w:style w:type="character" w:styleId="Referenciaintensa">
    <w:name w:val="Intense Reference"/>
    <w:basedOn w:val="Fuentedeprrafopredeter"/>
    <w:uiPriority w:val="32"/>
    <w:qFormat w:val="1"/>
    <w:rsid w:val="00FC693F"/>
    <w:rPr>
      <w:b w:val="1"/>
      <w:bCs w:val="1"/>
      <w:smallCaps w:val="1"/>
      <w:color w:val="c0504d" w:themeColor="accent2"/>
      <w:spacing w:val="5"/>
      <w:u w:val="single"/>
    </w:rPr>
  </w:style>
  <w:style w:type="character" w:styleId="Ttulodellibro">
    <w:name w:val="Book Title"/>
    <w:basedOn w:val="Fuentedeprrafopredeter"/>
    <w:uiPriority w:val="33"/>
    <w:qFormat w:val="1"/>
    <w:rsid w:val="00FC693F"/>
    <w:rPr>
      <w:b w:val="1"/>
      <w:bCs w:val="1"/>
      <w:smallCaps w:val="1"/>
      <w:spacing w:val="5"/>
    </w:rPr>
  </w:style>
  <w:style w:type="paragraph" w:styleId="TtuloTDC">
    <w:name w:val="TOC Heading"/>
    <w:basedOn w:val="Ttulo1"/>
    <w:next w:val="Normal"/>
    <w:uiPriority w:val="39"/>
    <w:semiHidden w:val="1"/>
    <w:unhideWhenUsed w:val="1"/>
    <w:qFormat w:val="1"/>
    <w:rsid w:val="00FC693F"/>
    <w:pPr>
      <w:outlineLvl w:val="9"/>
    </w:pPr>
  </w:style>
  <w:style w:type="table" w:styleId="Tablaconcuadrcula">
    <w:name w:val="Table Grid"/>
    <w:basedOn w:val="Tabla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Sombreadoclaro">
    <w:name w:val="Light Shading"/>
    <w:basedOn w:val="Tabla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Sombreadoclaro-nfasis1">
    <w:name w:val="Light Shading Accent 1"/>
    <w:basedOn w:val="Tabla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Sombreadoclaro-nfasis2">
    <w:name w:val="Light Shading Accent 2"/>
    <w:basedOn w:val="Tabla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Sombreadoclaro-nfasis3">
    <w:name w:val="Light Shading Accent 3"/>
    <w:basedOn w:val="Tabla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Sombreadoclaro-nfasis4">
    <w:name w:val="Light Shading Accent 4"/>
    <w:basedOn w:val="Tabla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Sombreadoclaro-nfasis5">
    <w:name w:val="Light Shading Accent 5"/>
    <w:basedOn w:val="Tabla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Sombreadoclaro-nfasis6">
    <w:name w:val="Light Shading Accent 6"/>
    <w:basedOn w:val="Tabla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staclara">
    <w:name w:val="Light List"/>
    <w:basedOn w:val="Tabla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Listamedia2">
    <w:name w:val="Medium Lis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1">
    <w:name w:val="Medium List 2 Accent 1"/>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2">
    <w:name w:val="Medium List 2 Accent 2"/>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3">
    <w:name w:val="Medium List 2 Accent 3"/>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4">
    <w:name w:val="Medium List 2 Accent 4"/>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5">
    <w:name w:val="Medium List 2 Accent 5"/>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Listamedia2-nfasis6">
    <w:name w:val="Medium List 2 Accent 6"/>
    <w:basedOn w:val="Tabla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Cuadrculamedia2">
    <w:name w:val="Medium Grid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Cuadrculamedia2-nfasis1">
    <w:name w:val="Medium Grid 2 Accent 1"/>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Cuadrculamedia2-nfasis2">
    <w:name w:val="Medium Grid 2 Accent 2"/>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Cuadrculamedia2-nfasis3">
    <w:name w:val="Medium Grid 2 Accent 3"/>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Cuadrculamedia2-nfasis4">
    <w:name w:val="Medium Grid 2 Accent 4"/>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Cuadrculamedia2-nfasis5">
    <w:name w:val="Medium Grid 2 Accent 5"/>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Cuadrculamedia2-nfasis6">
    <w:name w:val="Medium Grid 2 Accent 6"/>
    <w:basedOn w:val="Tabla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TableText" w:customStyle="1">
    <w:name w:val="Table Text"/>
    <w:rPr>
      <w:rFonts w:ascii="Arial" w:hAnsi="Arial"/>
      <w:sz w:val="18"/>
    </w:rPr>
  </w:style>
  <w:style w:type="paragraph" w:styleId="Small" w:customStyle="1">
    <w:name w:val="Small"/>
    <w:rPr>
      <w:rFonts w:ascii="Arial" w:hAnsi="Arial"/>
      <w:sz w:val="18"/>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YvPI1VB2oJMNiCzNfc2efzrjQw==">CgMxLjAaJAoBMBIfCh0IB0IZCgVBcmlhbBIQQXJpYWwgVW5pY29kZSBNUzgAciExalYyR1dzcWVxTE9GRVUxMU5nVXpOVmtHbHZuN0RCZEI=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Vicente Rivera; Ignacio Fuenzalida</dc:creator>
</cp:coreProperties>
</file>