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Entrega prueba técnica RLA — Problema #1: Productos e inventario sin estandarización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[Nombre Apellido] · Programa Ingeniería con la Empresa UDD · Solución: </w:t>
      </w:r>
      <w:r>
        <w:rPr>
          <w:rFonts w:ascii="Calibri" w:cs="Calibri" w:eastAsia="Calibri" w:hAnsi="Calibri"/>
          <w:color w:val="2E74B5"/>
          <w:sz w:val="19"/>
          <w:szCs w:val="19"/>
          <w:u w:val="single"/>
        </w:rPr>
        <w:t xml:space="preserve">[enlace al repositorio / app]</w:t>
      </w:r>
    </w:p>
    <w:p>
      <w:pPr>
        <w:pBdr>
          <w:bottom w:val="single" w:color="8EAAD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Problema elegido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Lista_Productos.xlsx trae 7.890 códigos de producto × 137 sitios (57.011 filas) con más de 40 formatos de código distintos por país, cinco campos de categoría superpuestos e incompletos, marcas escritas de varias formas (Kramer/Krammer, Behringer/Bheringer) y productos repetidos con códigos distintos. No existe columna de país.</w:t>
      </w:r>
    </w:p>
    <w:p>
      <w:pPr>
        <w:pBdr>
          <w:bottom w:val="single" w:color="8EAAD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Qué construí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 pipeline repetible en Python que convierte cada nueva exportación de R2 en un maestro único, persistido en Supabase (Postgres; SQLite como respaldo local), y una app web (Streamlit) para buscar, revisar, corregir, crear y exportar productos: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Limpieza: </w:t>
      </w:r>
      <w:r>
        <w:rPr>
          <w:rFonts w:ascii="Calibri" w:cs="Calibri" w:eastAsia="Calibri" w:hAnsi="Calibri"/>
          <w:sz w:val="19"/>
          <w:szCs w:val="19"/>
        </w:rPr>
        <w:t xml:space="preserve">columnas en camelCase/inglés, números con formato latino, ortografía y marcas por diccionarios editables (622 → 550 marcas), log de cada corrección.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País: </w:t>
      </w:r>
      <w:r>
        <w:rPr>
          <w:rFonts w:ascii="Calibri" w:cs="Calibri" w:eastAsia="Calibri" w:hAnsi="Calibri"/>
          <w:sz w:val="19"/>
          <w:szCs w:val="19"/>
        </w:rPr>
        <w:t xml:space="preserve">reglas sobre el nombre del sitio, validadas con el prefijo del código (CO/PE/PA/CL/MX); tipo de sitio (bodega, venue, servicio técnico, virtual/baja).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Categoría: </w:t>
      </w:r>
      <w:r>
        <w:rPr>
          <w:rFonts w:ascii="Calibri" w:cs="Calibri" w:eastAsia="Calibri" w:hAnsi="Calibri"/>
          <w:sz w:val="19"/>
          <w:szCs w:val="19"/>
        </w:rPr>
        <w:t xml:space="preserve">taxonomía de 10 familias y 60 categorías; 94,7% clasificado por reglas, el resto a una cola de revisión.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Código global FAM-CAT-NNNN </w:t>
      </w:r>
      <w:r>
        <w:rPr>
          <w:rFonts w:ascii="Calibri" w:cs="Calibri" w:eastAsia="Calibri" w:hAnsi="Calibri"/>
          <w:sz w:val="19"/>
          <w:szCs w:val="19"/>
        </w:rPr>
        <w:t xml:space="preserve">(ej. AUD-MIC-0012), estable entre cargas, con tabla de equivalencias a los códigos legacy y disponibilidad por país y sitio.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Nombre estándar: </w:t>
      </w:r>
      <w:r>
        <w:rPr>
          <w:rFonts w:ascii="Calibri" w:cs="Calibri" w:eastAsia="Calibri" w:hAnsi="Calibri"/>
          <w:sz w:val="19"/>
          <w:szCs w:val="19"/>
        </w:rPr>
        <w:t xml:space="preserve">tipo + marca + modelo + atributo clave extraído (metraje, pulgadas, lúmenes, GB, watts, canales).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Duplicados: </w:t>
      </w:r>
      <w:r>
        <w:rPr>
          <w:rFonts w:ascii="Calibri" w:cs="Calibri" w:eastAsia="Calibri" w:hAnsi="Calibri"/>
          <w:sz w:val="19"/>
          <w:szCs w:val="19"/>
        </w:rPr>
        <w:t xml:space="preserve">exactos se consolidan bajo un código (244 códigos legacy); aproximados reciben un puntaje 0-100 y se confirman o rechazan en la app. No se borran filas: se preserva el stock.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Cargas sin duplicar: </w:t>
      </w:r>
      <w:r>
        <w:rPr>
          <w:rFonts w:ascii="Calibri" w:cs="Calibri" w:eastAsia="Calibri" w:hAnsi="Calibri"/>
          <w:sz w:val="19"/>
          <w:szCs w:val="19"/>
        </w:rPr>
        <w:t xml:space="preserve">cada archivo se registra con su huella SHA-256 (no se reprocesa el mismo contenido); las filas se consolidan en una base acumulada: idénticas no se duplican, las que cambian se actualizan con historial.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App + BD: </w:t>
      </w:r>
      <w:r>
        <w:rPr>
          <w:rFonts w:ascii="Calibri" w:cs="Calibri" w:eastAsia="Calibri" w:hAnsi="Calibri"/>
          <w:sz w:val="19"/>
          <w:szCs w:val="19"/>
        </w:rPr>
        <w:t xml:space="preserve">búsqueda tolerante a errores, Excel con filtros (país, categoría…), alta con alerta de similares, edición manual e historial de cargas. Las decisiones humanas se reaplican en cada carga.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IA opcional: </w:t>
      </w:r>
      <w:r>
        <w:rPr>
          <w:rFonts w:ascii="Calibri" w:cs="Calibri" w:eastAsia="Calibri" w:hAnsi="Calibri"/>
          <w:sz w:val="19"/>
          <w:szCs w:val="19"/>
        </w:rPr>
        <w:t xml:space="preserve">propone categoría/marca/modelo solo donde las reglas no alcanzan (reintento a 0,1 s y fallback entre modelos); cada campo queda marcado como IA y cualquier edición manual lo reemplaza.</w:t>
      </w:r>
    </w:p>
    <w:p>
      <w:pPr>
        <w:pBdr>
          <w:bottom w:val="single" w:color="8EAAD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Cómo ejecutarlo / revisarlo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</w:t>
      </w:r>
      <w:r>
        <w:rPr>
          <w:rFonts w:ascii="Calibri" w:cs="Calibri" w:eastAsia="Calibri" w:hAnsi="Calibri"/>
          <w:sz w:val="19"/>
          <w:szCs w:val="19"/>
        </w:rPr>
        <w:t xml:space="preserve">  →  </w:t>
      </w:r>
      <w:r>
        <w:rPr>
          <w:rFonts w:ascii="Consolas" w:cs="Consolas" w:eastAsia="Consolas" w:hAnsi="Consolas"/>
          <w:sz w:val="17"/>
          <w:szCs w:val="17"/>
        </w:rPr>
        <w:t xml:space="preserve">python run_pipeline.py</w:t>
      </w:r>
      <w:r>
        <w:rPr>
          <w:rFonts w:ascii="Calibri" w:cs="Calibri" w:eastAsia="Calibri" w:hAnsi="Calibri"/>
          <w:sz w:val="19"/>
          <w:szCs w:val="19"/>
        </w:rPr>
        <w:t xml:space="preserve"> (≈40 s)  →  </w:t>
      </w:r>
      <w:r>
        <w:rPr>
          <w:rFonts w:ascii="Consolas" w:cs="Consolas" w:eastAsia="Consolas" w:hAnsi="Consolas"/>
          <w:sz w:val="17"/>
          <w:szCs w:val="17"/>
        </w:rPr>
        <w:t xml:space="preserve">streamlit run app/app.py</w:t>
      </w:r>
      <w:r>
        <w:rPr>
          <w:rFonts w:ascii="Calibri" w:cs="Calibri" w:eastAsia="Calibri" w:hAnsi="Calibri"/>
          <w:sz w:val="19"/>
          <w:szCs w:val="19"/>
        </w:rPr>
        <w:t xml:space="preserve"> (en Windows: iniciar_app.bat).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Mes siguiente: subir el nuevo .xlsx en “Cargar datos / IA” y presionar Ejecutar pipeline. Si el archivo ya se cargó, la app lo advierte y no lo reprocesa. Supabase: ejecutar una vez db/schema_supabase.sql y completar .env.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Toda la lógica de negocio está en config/*.csv (editable sin programar). README.md detalla estructura y modelo de datos.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400"/>
        <w:gridCol w:w="3580"/>
      </w:tblGrid>
      <w:tr>
        <w:tc>
          <w:tcPr>
            <w:tcW w:type="dxa" w:w="21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Paso</w:t>
            </w:r>
          </w:p>
        </w:tc>
        <w:tc>
          <w:tcPr>
            <w:tcW w:type="dxa" w:w="440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Automático</w:t>
            </w:r>
          </w:p>
        </w:tc>
        <w:tc>
          <w:tcPr>
            <w:tcW w:type="dxa" w:w="3580"/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Requiere persona</w:t>
            </w:r>
          </w:p>
        </w:tc>
      </w:tr>
      <w:t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Columnas / tipos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Renombre camelCase-inglés y tipado</w:t>
            </w:r>
          </w:p>
        </w:tc>
        <w:tc>
          <w:tcPr>
            <w:tcW w:type="dxa" w:w="35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Solo si aparece una columna nueva o falta una (reporte)</w:t>
            </w:r>
          </w:p>
        </w:tc>
      </w:tr>
      <w:t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Ortografía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Diccionarios de corrección y alias de marcas</w:t>
            </w:r>
          </w:p>
        </w:tc>
        <w:tc>
          <w:tcPr>
            <w:tcW w:type="dxa" w:w="35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Agregar errores nuevos al CSV</w:t>
            </w:r>
          </w:p>
        </w:tc>
      </w:tr>
      <w:t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País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Sitios conocidos o reconocibles por nombre</w:t>
            </w:r>
          </w:p>
        </w:tc>
        <w:tc>
          <w:tcPr>
            <w:tcW w:type="dxa" w:w="35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Sitios nuevos SIN_ASIGNAR → sites_manual.csv</w:t>
            </w:r>
          </w:p>
        </w:tc>
      </w:tr>
      <w:t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Categoría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~95% por reglas (+ IA opcional)</w:t>
            </w:r>
          </w:p>
        </w:tc>
        <w:tc>
          <w:tcPr>
            <w:tcW w:type="dxa" w:w="35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Cola “sin clasificar” / validar lo marcado 🤖 IA</w:t>
            </w:r>
          </w:p>
        </w:tc>
      </w:tr>
      <w:t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Código / nombre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Emisión estable FAM-CAT-NNNN y nombre estándar</w:t>
            </w:r>
          </w:p>
        </w:tc>
        <w:tc>
          <w:tcPr>
            <w:tcW w:type="dxa" w:w="35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Duplicados</w:t>
            </w:r>
          </w:p>
        </w:tc>
        <w:tc>
          <w:tcPr>
            <w:tcW w:type="dxa" w:w="4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Exactos se consolidan solos</w:t>
            </w:r>
          </w:p>
        </w:tc>
        <w:tc>
          <w:tcPr>
            <w:tcW w:type="dxa" w:w="35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Confirmar o rechazar pares con puntaje</w:t>
            </w:r>
          </w:p>
        </w:tc>
      </w:tr>
    </w:tbl>
    <w:p>
      <w:pPr>
        <w:pBdr>
          <w:bottom w:val="single" w:color="8EAAD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Herramientas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Python (pandas, rapidfuzz), Supabase / SQLite, Streamlit, LLM gratuitos vía OpenRouter (opcional, con reintento y fallback entre 3 modelos). Claude como asistente de análisis y desarrollo.</w:t>
      </w:r>
    </w:p>
    <w:sectPr>
      <w:pgSz w:w="12240" w:h="15840" w:orient="portrait"/>
      <w:pgMar w:top="72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2026-09-23T13:36:45.551Z</dcterms:created>
  <dcterms:modified xsi:type="dcterms:W3CDTF">2026-09-23T13:36:45.560Z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