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
        <w:rPr>
          <w:rFonts w:ascii="Arial" w:hAnsi="Arial"/>
          <w:b/>
          <w:sz w:val="20"/>
        </w:rPr>
        <w:t>Estudiante: Vicente Heredia</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
        <w:rPr>
          <w:rFonts w:ascii="Arial" w:hAnsi="Arial"/>
          <w:b/>
          <w:sz w:val="18"/>
        </w:rPr>
        <w:t xml:space="preserve">Síntesis personal: </w:t>
      </w:r>
      <w:r>
        <w:rPr>
          <w:rFonts w:ascii="Arial" w:hAnsi="Arial"/>
          <w:b w:val="0"/>
          <w:sz w:val="18"/>
        </w:rPr>
        <w:t>Considero que la definición de Hurry Up está bien fundamentada y alineada con mis intereses en desarrollo de software. Como aspectos por reforzar identifico explicitar mejor facilitadores y obstaculizadores del plan, profundizar algunos indicadores de calidad y completar los apartados exigidos en inglés.</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E2F0D9"/>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E2F0D9"/>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[X] 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E2F0D9"/>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E2F0D9"/>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E2F0D9"/>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E2F0D9"/>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fill="E2F0D9"/>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[X] 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E2F0D9"/>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fill="E2F0D9"/>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E2F0D9"/>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[X] 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fill="E2F0D9"/>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[X] 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shd w:fill="E2F0D9"/>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 xml:space="preserve">[X] 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