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1568" w14:textId="5F820951" w:rsidR="00F81363" w:rsidRDefault="00F81363" w:rsidP="00F81363">
      <w:pPr>
        <w:pStyle w:val="1"/>
      </w:pPr>
      <w:r w:rsidRPr="00F81363">
        <w:rPr>
          <w:lang w:val="en-US"/>
        </w:rPr>
        <w:t>Learning to Detect Roads</w:t>
      </w:r>
    </w:p>
    <w:p w14:paraId="50C76B52" w14:textId="17DF25F0" w:rsidR="00F81363" w:rsidRDefault="00F81363" w:rsidP="00F81363">
      <w:pPr>
        <w:pStyle w:val="2"/>
      </w:pPr>
      <w:proofErr w:type="spellStart"/>
      <w:r w:rsidRPr="00F81363">
        <w:t>Unsupervised</w:t>
      </w:r>
      <w:proofErr w:type="spellEnd"/>
      <w:r w:rsidRPr="00F81363">
        <w:t xml:space="preserve"> </w:t>
      </w:r>
      <w:proofErr w:type="spellStart"/>
      <w:r w:rsidRPr="00F81363">
        <w:t>Pretraining</w:t>
      </w:r>
      <w:proofErr w:type="spellEnd"/>
    </w:p>
    <w:p w14:paraId="6141D514" w14:textId="7C2E1FF8" w:rsidR="00F81363" w:rsidRDefault="00F81363" w:rsidP="00102099">
      <w:pPr>
        <w:rPr>
          <w:lang w:val="en-US"/>
        </w:rPr>
      </w:pPr>
      <w:r w:rsidRPr="00F81363">
        <w:rPr>
          <w:lang w:val="en-US"/>
        </w:rPr>
        <w:t xml:space="preserve">Traditionally neural networks have been initialized with small random weights. However, it has recently been shown that using an unsupervised learning procedure to initialize the weights can significantly improve the performance of neural </w:t>
      </w:r>
      <w:proofErr w:type="spellStart"/>
      <w:r w:rsidRPr="00A9282A">
        <w:t>networks</w:t>
      </w:r>
      <w:proofErr w:type="spellEnd"/>
      <w:r w:rsidRPr="00F81363">
        <w:rPr>
          <w:lang w:val="en-US"/>
        </w:rPr>
        <w:t>. Using such an initialization procedure has been referred to as pretraining.</w:t>
      </w:r>
    </w:p>
    <w:p w14:paraId="24DA80FD" w14:textId="01EC27CA" w:rsidR="00F96F05" w:rsidRPr="00F96F05" w:rsidRDefault="00F96F05" w:rsidP="00A9282A">
      <w:pPr>
        <w:rPr>
          <w:lang w:val="en-US"/>
        </w:rPr>
      </w:pPr>
      <w:proofErr w:type="gramStart"/>
      <w:r w:rsidRPr="00A9282A">
        <w:t>A</w:t>
      </w:r>
      <w:r w:rsidRPr="00F96F05">
        <w:rPr>
          <w:lang w:val="en-US"/>
        </w:rPr>
        <w:t>  set</w:t>
      </w:r>
      <w:proofErr w:type="gramEnd"/>
      <w:r w:rsidRPr="00F96F05">
        <w:rPr>
          <w:lang w:val="en-US"/>
        </w:rPr>
        <w:t xml:space="preserve">  of  inclusion  and  exclusion  criteria  was  ascertained  as  competency  factors  to  identify  previous  studies  and  subjects  based  on  the  purpose  of  this  work.  </w:t>
      </w:r>
      <w:r w:rsidRPr="00B73D4C">
        <w:rPr>
          <w:lang w:val="en-US"/>
        </w:rPr>
        <w:t xml:space="preserve">The exclusion </w:t>
      </w:r>
      <w:proofErr w:type="gramStart"/>
      <w:r w:rsidRPr="00B73D4C">
        <w:rPr>
          <w:lang w:val="en-US"/>
        </w:rPr>
        <w:t xml:space="preserve">factors  </w:t>
      </w:r>
      <w:r>
        <w:rPr>
          <w:lang w:val="en-US"/>
        </w:rPr>
        <w:t>were</w:t>
      </w:r>
      <w:proofErr w:type="gramEnd"/>
      <w:r>
        <w:rPr>
          <w:lang w:val="en-US"/>
        </w:rPr>
        <w:t xml:space="preserve"> as follow</w:t>
      </w:r>
      <w:r w:rsidR="00102099">
        <w:rPr>
          <w:lang w:val="en-US"/>
        </w:rPr>
        <w:t>.</w:t>
      </w:r>
    </w:p>
    <w:p w14:paraId="1B875B4B" w14:textId="47BC601E" w:rsidR="00F81363" w:rsidRPr="00F96F05" w:rsidRDefault="00F96F05" w:rsidP="00F96F05">
      <w:pPr>
        <w:pStyle w:val="a0"/>
      </w:pPr>
      <w:r w:rsidRPr="00F96F05">
        <w:t>The full text of the papers was not provided by publishers</w:t>
      </w:r>
      <w:r w:rsidR="00D8729B">
        <w:t>;</w:t>
      </w:r>
    </w:p>
    <w:p w14:paraId="20B3F485" w14:textId="20C03525" w:rsidR="00F96F05" w:rsidRDefault="00F96F05" w:rsidP="00F96F05">
      <w:pPr>
        <w:pStyle w:val="a0"/>
      </w:pPr>
      <w:r w:rsidRPr="00F96F05">
        <w:t xml:space="preserve"> Remote sensing images were not used in the he pape</w:t>
      </w:r>
      <w:r>
        <w:t>rs</w:t>
      </w:r>
      <w:r w:rsidR="00D8729B">
        <w:t>;</w:t>
      </w:r>
    </w:p>
    <w:p w14:paraId="59D69142" w14:textId="08C3828B" w:rsidR="00F96F05" w:rsidRDefault="00F96F05" w:rsidP="00F96F05">
      <w:pPr>
        <w:pStyle w:val="a0"/>
      </w:pPr>
      <w:r w:rsidRPr="00F96F05">
        <w:t xml:space="preserve"> Peer‐reviewed papers, such as conferences and journals</w:t>
      </w:r>
      <w:r w:rsidR="00D8729B">
        <w:t>;</w:t>
      </w:r>
    </w:p>
    <w:p w14:paraId="0573B161" w14:textId="27B9F590" w:rsidR="00F96F05" w:rsidRPr="00F81363" w:rsidRDefault="00F96F05" w:rsidP="00F96F05">
      <w:pPr>
        <w:pStyle w:val="a0"/>
      </w:pPr>
      <w:r>
        <w:t>A</w:t>
      </w:r>
      <w:r w:rsidRPr="00F96F05">
        <w:t>rticles written in English</w:t>
      </w:r>
      <w:r w:rsidR="00D8729B">
        <w:t>;</w:t>
      </w:r>
    </w:p>
    <w:p w14:paraId="71950001" w14:textId="2AB28AF5" w:rsidR="00F81363" w:rsidRPr="00B73D4C" w:rsidRDefault="00F96F05" w:rsidP="00AD1D40">
      <w:pPr>
        <w:rPr>
          <w:lang w:val="en-US"/>
        </w:rPr>
      </w:pPr>
      <w:r w:rsidRPr="00F96F05">
        <w:rPr>
          <w:lang w:val="en-US"/>
        </w:rPr>
        <w:t>Although the methods utilized for road extraction used different data, this study can provide the following important outcomes</w:t>
      </w:r>
      <w:r w:rsidR="002E0E03">
        <w:rPr>
          <w:lang w:val="en-US"/>
        </w:rPr>
        <w:t xml:space="preserve"> (</w:t>
      </w:r>
      <w:r w:rsidR="002E0E03">
        <w:rPr>
          <w:lang w:val="en-US"/>
        </w:rPr>
        <w:fldChar w:fldCharType="begin"/>
      </w:r>
      <w:r w:rsidR="002E0E03">
        <w:rPr>
          <w:lang w:val="en-US"/>
        </w:rPr>
        <w:instrText xml:space="preserve"> REF _Ref163131619 \h </w:instrText>
      </w:r>
      <w:r w:rsidR="002E0E03">
        <w:rPr>
          <w:lang w:val="en-US"/>
        </w:rPr>
      </w:r>
      <w:r w:rsidR="002E0E03">
        <w:rPr>
          <w:lang w:val="en-US"/>
        </w:rPr>
        <w:fldChar w:fldCharType="separate"/>
      </w:r>
      <w:r w:rsidR="00615AF8" w:rsidRPr="002E0E03">
        <w:rPr>
          <w:lang w:val="en-US"/>
        </w:rPr>
        <w:t xml:space="preserve">Figure </w:t>
      </w:r>
      <w:r w:rsidR="00615AF8">
        <w:rPr>
          <w:noProof/>
          <w:lang w:val="en-US"/>
        </w:rPr>
        <w:t>1</w:t>
      </w:r>
      <w:r w:rsidR="002E0E03">
        <w:rPr>
          <w:lang w:val="en-US"/>
        </w:rPr>
        <w:fldChar w:fldCharType="end"/>
      </w:r>
      <w:r w:rsidR="002E0E03">
        <w:rPr>
          <w:lang w:val="en-US"/>
        </w:rPr>
        <w:t xml:space="preserve"> )</w:t>
      </w:r>
    </w:p>
    <w:p w14:paraId="5652776C" w14:textId="5C6D8327" w:rsidR="00F96F05" w:rsidRPr="00F96F05" w:rsidRDefault="00F96F05" w:rsidP="00F96F05">
      <w:pPr>
        <w:pStyle w:val="a"/>
      </w:pPr>
      <w:r w:rsidRPr="00F96F05">
        <w:t>The capabilities of deep learning methods for road extraction are more effective than those of regular approaches</w:t>
      </w:r>
      <w:r w:rsidR="00154393">
        <w:t xml:space="preserve"> (</w:t>
      </w:r>
      <w:r w:rsidR="00615AF8">
        <w:fldChar w:fldCharType="begin"/>
      </w:r>
      <w:r w:rsidR="00615AF8">
        <w:instrText xml:space="preserve"> REF _Ref98171327 \h </w:instrText>
      </w:r>
      <w:r w:rsidR="00615AF8">
        <w:fldChar w:fldCharType="separate"/>
      </w:r>
      <w:r w:rsidR="00615AF8">
        <w:t>Table</w:t>
      </w:r>
      <w:r w:rsidR="00615AF8" w:rsidRPr="00D8729B">
        <w:t xml:space="preserve"> </w:t>
      </w:r>
      <w:r w:rsidR="00615AF8">
        <w:rPr>
          <w:noProof/>
        </w:rPr>
        <w:t>1</w:t>
      </w:r>
      <w:r w:rsidR="00615AF8">
        <w:fldChar w:fldCharType="end"/>
      </w:r>
      <w:r w:rsidR="00615AF8">
        <w:t>)</w:t>
      </w:r>
    </w:p>
    <w:p w14:paraId="4093C154" w14:textId="347105CD" w:rsidR="00F96F05" w:rsidRPr="00F96F05" w:rsidRDefault="00F96F05" w:rsidP="00F96F05">
      <w:pPr>
        <w:pStyle w:val="a"/>
      </w:pPr>
      <w:r w:rsidRPr="00F96F05">
        <w:t>The low efficiency of the proposed methods in terms of data quality, training dataset, and model hyperparameters is presented</w:t>
      </w:r>
      <w:r w:rsidR="00D8729B">
        <w:t>;</w:t>
      </w:r>
    </w:p>
    <w:p w14:paraId="7879D443" w14:textId="6EF85406" w:rsidR="001E64B0" w:rsidRPr="00AD1D40" w:rsidRDefault="00F96F05" w:rsidP="00AD1D40">
      <w:pPr>
        <w:pStyle w:val="a"/>
      </w:pPr>
      <w:r w:rsidRPr="00F96F05">
        <w:t>Occlusions, such as shadows, cars, and buildings, are similar to road features, such as colors, reflectance, and patterns. Road extraction remains challenging owing to such issues</w:t>
      </w:r>
      <w:r w:rsidR="00D8729B">
        <w:t>;</w:t>
      </w:r>
    </w:p>
    <w:p w14:paraId="2D71D9B3" w14:textId="77777777" w:rsidR="00154393" w:rsidRDefault="00F96F05" w:rsidP="00154393">
      <w:pPr>
        <w:pStyle w:val="-0"/>
        <w:keepNext/>
      </w:pPr>
      <w:r w:rsidRPr="00BF3639">
        <w:rPr>
          <w:noProof/>
        </w:rPr>
        <w:drawing>
          <wp:inline distT="0" distB="0" distL="0" distR="0" wp14:anchorId="3D9EA4D9" wp14:editId="503542C9">
            <wp:extent cx="2167527" cy="1600200"/>
            <wp:effectExtent l="0" t="0" r="4445" b="0"/>
            <wp:docPr id="1" name="Рисунок 2" desc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4.emf"/>
                    <pic:cNvPicPr>
                      <a:picLocks noChangeAspect="1" noChangeArrowheads="1"/>
                    </pic:cNvPicPr>
                  </pic:nvPicPr>
                  <pic:blipFill>
                    <a:blip r:embed="rId8" cstate="print"/>
                    <a:srcRect/>
                    <a:stretch>
                      <a:fillRect/>
                    </a:stretch>
                  </pic:blipFill>
                  <pic:spPr bwMode="auto">
                    <a:xfrm>
                      <a:off x="0" y="0"/>
                      <a:ext cx="2172693" cy="1604014"/>
                    </a:xfrm>
                    <a:prstGeom prst="rect">
                      <a:avLst/>
                    </a:prstGeom>
                    <a:noFill/>
                    <a:ln w="9525">
                      <a:noFill/>
                      <a:miter lim="800000"/>
                      <a:headEnd/>
                      <a:tailEnd/>
                    </a:ln>
                  </pic:spPr>
                </pic:pic>
              </a:graphicData>
            </a:graphic>
          </wp:inline>
        </w:drawing>
      </w:r>
    </w:p>
    <w:p w14:paraId="1F54B193" w14:textId="1A0F9817" w:rsidR="00A9282A" w:rsidRPr="00154393" w:rsidRDefault="00154393" w:rsidP="00154393">
      <w:pPr>
        <w:pStyle w:val="-0"/>
        <w:rPr>
          <w:lang w:val="en-US"/>
        </w:rPr>
      </w:pPr>
      <w:bookmarkStart w:id="0" w:name="_Ref163131619"/>
      <w:bookmarkStart w:id="1" w:name="_Ref163131698"/>
      <w:r w:rsidRPr="002E0E03">
        <w:rPr>
          <w:lang w:val="en-US"/>
        </w:rPr>
        <w:t xml:space="preserve">Figure </w:t>
      </w:r>
      <w:r>
        <w:fldChar w:fldCharType="begin"/>
      </w:r>
      <w:r w:rsidRPr="002E0E03">
        <w:rPr>
          <w:lang w:val="en-US"/>
        </w:rPr>
        <w:instrText xml:space="preserve"> SEQ Figure \* ARABIC </w:instrText>
      </w:r>
      <w:r>
        <w:fldChar w:fldCharType="separate"/>
      </w:r>
      <w:r w:rsidR="00615AF8">
        <w:rPr>
          <w:noProof/>
          <w:lang w:val="en-US"/>
        </w:rPr>
        <w:t>1</w:t>
      </w:r>
      <w:r>
        <w:fldChar w:fldCharType="end"/>
      </w:r>
      <w:bookmarkEnd w:id="0"/>
      <w:r w:rsidR="002E0E03">
        <w:rPr>
          <w:lang w:val="en-US"/>
        </w:rPr>
        <w:t xml:space="preserve"> </w:t>
      </w:r>
      <w:bookmarkEnd w:id="1"/>
      <w:r w:rsidR="002E0E03">
        <w:rPr>
          <w:noProof/>
          <w:lang w:val="en-US"/>
        </w:rPr>
        <w:t>–  The pixel resolution of most</w:t>
      </w:r>
      <w:r>
        <w:rPr>
          <w:lang w:val="en-US"/>
        </w:rPr>
        <w:t xml:space="preserve"> </w:t>
      </w:r>
    </w:p>
    <w:p w14:paraId="1B681AD8" w14:textId="4051DA59" w:rsidR="008D4D21" w:rsidRPr="00D8729B" w:rsidRDefault="00D8729B" w:rsidP="008D4D21">
      <w:pPr>
        <w:pStyle w:val="-"/>
        <w:rPr>
          <w:lang w:val="en-US"/>
        </w:rPr>
      </w:pPr>
      <w:bookmarkStart w:id="2" w:name="_Ref98171327"/>
      <w:bookmarkStart w:id="3" w:name="_Hlk163086293"/>
      <w:bookmarkStart w:id="4" w:name="_Ref163131297"/>
      <w:r>
        <w:rPr>
          <w:lang w:val="en-US"/>
        </w:rPr>
        <w:t>Table</w:t>
      </w:r>
      <w:r w:rsidRPr="00D8729B">
        <w:rPr>
          <w:lang w:val="en-US"/>
        </w:rPr>
        <w:t xml:space="preserve"> </w:t>
      </w:r>
      <w:r>
        <w:fldChar w:fldCharType="begin"/>
      </w:r>
      <w:r w:rsidRPr="00D8729B">
        <w:rPr>
          <w:lang w:val="en-US"/>
        </w:rPr>
        <w:instrText xml:space="preserve"> SEQ </w:instrText>
      </w:r>
      <w:r>
        <w:instrText>Таблица</w:instrText>
      </w:r>
      <w:r w:rsidRPr="00D8729B">
        <w:rPr>
          <w:lang w:val="en-US"/>
        </w:rPr>
        <w:instrText xml:space="preserve"> \* ARABIC </w:instrText>
      </w:r>
      <w:r>
        <w:fldChar w:fldCharType="separate"/>
      </w:r>
      <w:r w:rsidR="00615AF8">
        <w:rPr>
          <w:noProof/>
          <w:lang w:val="en-US"/>
        </w:rPr>
        <w:t>1</w:t>
      </w:r>
      <w:r>
        <w:rPr>
          <w:noProof/>
        </w:rPr>
        <w:fldChar w:fldCharType="end"/>
      </w:r>
      <w:bookmarkEnd w:id="2"/>
      <w:r w:rsidRPr="00D8729B">
        <w:rPr>
          <w:lang w:val="en-US"/>
        </w:rPr>
        <w:t> </w:t>
      </w:r>
      <w:bookmarkEnd w:id="3"/>
      <w:bookmarkEnd w:id="4"/>
      <w:r w:rsidR="00615AF8">
        <w:rPr>
          <w:noProof/>
          <w:lang w:val="en-US"/>
        </w:rPr>
        <w:t>–</w:t>
      </w:r>
      <w:r w:rsidR="00615AF8">
        <w:rPr>
          <w:noProof/>
          <w:lang w:val="en-US"/>
        </w:rPr>
        <w:t xml:space="preserve"> </w:t>
      </w:r>
      <w:r w:rsidR="00615AF8" w:rsidRPr="00615AF8">
        <w:rPr>
          <w:lang w:val="en-US"/>
        </w:rPr>
        <w:t>The confusion matrix is a detailed</w:t>
      </w:r>
    </w:p>
    <w:tbl>
      <w:tblPr>
        <w:tblStyle w:val="af5"/>
        <w:tblW w:w="0" w:type="auto"/>
        <w:tblLook w:val="04A0" w:firstRow="1" w:lastRow="0" w:firstColumn="1" w:lastColumn="0" w:noHBand="0" w:noVBand="1"/>
      </w:tblPr>
      <w:tblGrid>
        <w:gridCol w:w="3114"/>
        <w:gridCol w:w="3115"/>
        <w:gridCol w:w="3115"/>
      </w:tblGrid>
      <w:tr w:rsidR="000715FA" w14:paraId="001358CF" w14:textId="77777777" w:rsidTr="000715FA">
        <w:tc>
          <w:tcPr>
            <w:tcW w:w="3114" w:type="dxa"/>
          </w:tcPr>
          <w:p w14:paraId="1E9ABCDC" w14:textId="7972786F" w:rsidR="000715FA" w:rsidRDefault="000715FA" w:rsidP="000715FA">
            <w:pPr>
              <w:pStyle w:val="-1"/>
            </w:pPr>
            <w:r w:rsidRPr="000715FA">
              <w:t>Year</w:t>
            </w:r>
          </w:p>
        </w:tc>
        <w:tc>
          <w:tcPr>
            <w:tcW w:w="3115" w:type="dxa"/>
          </w:tcPr>
          <w:p w14:paraId="314BF573" w14:textId="7DA05143" w:rsidR="000715FA" w:rsidRDefault="000715FA" w:rsidP="000715FA">
            <w:pPr>
              <w:pStyle w:val="-1"/>
            </w:pPr>
            <w:bookmarkStart w:id="5" w:name="_Ref163088265"/>
            <w:r w:rsidRPr="000715FA">
              <w:t>Channel</w:t>
            </w:r>
            <w:bookmarkEnd w:id="5"/>
          </w:p>
        </w:tc>
        <w:tc>
          <w:tcPr>
            <w:tcW w:w="3115" w:type="dxa"/>
          </w:tcPr>
          <w:p w14:paraId="4A141917" w14:textId="01A6F5C6" w:rsidR="000715FA" w:rsidRDefault="000715FA" w:rsidP="000715FA">
            <w:pPr>
              <w:pStyle w:val="-1"/>
            </w:pPr>
            <w:proofErr w:type="spellStart"/>
            <w:r w:rsidRPr="000715FA">
              <w:t>Resolution</w:t>
            </w:r>
            <w:proofErr w:type="spellEnd"/>
          </w:p>
        </w:tc>
      </w:tr>
      <w:tr w:rsidR="000715FA" w14:paraId="072F6224" w14:textId="77777777" w:rsidTr="000715FA">
        <w:tc>
          <w:tcPr>
            <w:tcW w:w="3114" w:type="dxa"/>
          </w:tcPr>
          <w:p w14:paraId="01429B53" w14:textId="337D7881" w:rsidR="000715FA" w:rsidRDefault="000715FA" w:rsidP="000715FA">
            <w:pPr>
              <w:pStyle w:val="-1"/>
            </w:pPr>
            <w:r w:rsidRPr="000715FA">
              <w:t>2017</w:t>
            </w:r>
          </w:p>
        </w:tc>
        <w:tc>
          <w:tcPr>
            <w:tcW w:w="3115" w:type="dxa"/>
          </w:tcPr>
          <w:p w14:paraId="734D7360" w14:textId="3C379082" w:rsidR="000715FA" w:rsidRDefault="000715FA" w:rsidP="000715FA">
            <w:pPr>
              <w:pStyle w:val="-1"/>
            </w:pPr>
            <w:r w:rsidRPr="000715FA">
              <w:t>N, R, G, B</w:t>
            </w:r>
          </w:p>
        </w:tc>
        <w:tc>
          <w:tcPr>
            <w:tcW w:w="3115" w:type="dxa"/>
          </w:tcPr>
          <w:p w14:paraId="7D502885" w14:textId="20ECEC29" w:rsidR="000715FA" w:rsidRDefault="000715FA" w:rsidP="000715FA">
            <w:pPr>
              <w:pStyle w:val="-1"/>
            </w:pPr>
            <w:r w:rsidRPr="000715FA">
              <w:t>15cm/</w:t>
            </w:r>
            <w:proofErr w:type="spellStart"/>
            <w:r w:rsidRPr="000715FA">
              <w:t>px</w:t>
            </w:r>
            <w:proofErr w:type="spellEnd"/>
          </w:p>
        </w:tc>
      </w:tr>
      <w:tr w:rsidR="000715FA" w14:paraId="1A4B101E" w14:textId="77777777" w:rsidTr="000715FA">
        <w:tc>
          <w:tcPr>
            <w:tcW w:w="3114" w:type="dxa"/>
          </w:tcPr>
          <w:p w14:paraId="3FD4C13D" w14:textId="22E254F0" w:rsidR="000715FA" w:rsidRDefault="000715FA" w:rsidP="000715FA">
            <w:pPr>
              <w:pStyle w:val="-1"/>
            </w:pPr>
            <w:r w:rsidRPr="000715FA">
              <w:t>2018</w:t>
            </w:r>
          </w:p>
        </w:tc>
        <w:tc>
          <w:tcPr>
            <w:tcW w:w="3115" w:type="dxa"/>
          </w:tcPr>
          <w:p w14:paraId="600629E9" w14:textId="48D3CDDF" w:rsidR="000715FA" w:rsidRDefault="000715FA" w:rsidP="000715FA">
            <w:pPr>
              <w:pStyle w:val="-1"/>
            </w:pPr>
            <w:r w:rsidRPr="000715FA">
              <w:t>N, R, G, B</w:t>
            </w:r>
          </w:p>
        </w:tc>
        <w:tc>
          <w:tcPr>
            <w:tcW w:w="3115" w:type="dxa"/>
          </w:tcPr>
          <w:p w14:paraId="6782A6EF" w14:textId="5452BC53" w:rsidR="000715FA" w:rsidRDefault="000715FA" w:rsidP="00AD1D40">
            <w:pPr>
              <w:pStyle w:val="-1"/>
              <w:keepNext/>
            </w:pPr>
            <w:r w:rsidRPr="000715FA">
              <w:t>10cm/</w:t>
            </w:r>
            <w:proofErr w:type="spellStart"/>
            <w:r w:rsidRPr="000715FA">
              <w:t>px</w:t>
            </w:r>
            <w:proofErr w:type="spellEnd"/>
          </w:p>
        </w:tc>
      </w:tr>
    </w:tbl>
    <w:p w14:paraId="7541F6E9" w14:textId="2EE479A2" w:rsidR="00102099" w:rsidRPr="00102099" w:rsidRDefault="00B73D4C" w:rsidP="00102099">
      <w:pPr>
        <w:pStyle w:val="-"/>
        <w:rPr>
          <w:lang w:val="en-US"/>
        </w:rPr>
      </w:pPr>
      <w:r w:rsidRPr="00102099">
        <w:rPr>
          <w:rStyle w:val="ac"/>
          <w:lang w:val="en-US"/>
        </w:rPr>
        <w:lastRenderedPageBreak/>
        <w:t xml:space="preserve">where Z is a normalizing constant and the energy </w:t>
      </w:r>
      <w:proofErr w:type="gramStart"/>
      <w:r w:rsidRPr="00102099">
        <w:rPr>
          <w:rStyle w:val="ac"/>
          <w:lang w:val="en-US"/>
        </w:rPr>
        <w:t>E(</w:t>
      </w:r>
      <w:proofErr w:type="gramEnd"/>
      <w:r w:rsidRPr="00102099">
        <w:rPr>
          <w:rStyle w:val="ac"/>
          <w:lang w:val="en-US"/>
        </w:rPr>
        <w:t xml:space="preserve">v, h) is </w:t>
      </w:r>
      <w:r w:rsidR="00D8729B">
        <w:rPr>
          <w:rStyle w:val="ac"/>
          <w:lang w:val="en-US"/>
        </w:rPr>
        <w:fldChar w:fldCharType="begin"/>
      </w:r>
      <w:r w:rsidR="00D8729B">
        <w:rPr>
          <w:rStyle w:val="ac"/>
          <w:lang w:val="en-US"/>
        </w:rPr>
        <w:instrText xml:space="preserve"> REF _Ref98172175 \h </w:instrText>
      </w:r>
      <w:r w:rsidR="00D8729B">
        <w:rPr>
          <w:rStyle w:val="ac"/>
          <w:lang w:val="en-US"/>
        </w:rPr>
      </w:r>
      <w:r w:rsidR="00D8729B">
        <w:rPr>
          <w:rStyle w:val="ac"/>
          <w:lang w:val="en-US"/>
        </w:rPr>
        <w:fldChar w:fldCharType="separate"/>
      </w:r>
      <w:r w:rsidR="00615AF8" w:rsidRPr="00615AF8">
        <w:rPr>
          <w:lang w:val="en-US"/>
        </w:rPr>
        <w:t>(</w:t>
      </w:r>
      <w:r w:rsidR="00615AF8" w:rsidRPr="00615AF8">
        <w:rPr>
          <w:noProof/>
          <w:lang w:val="en-US"/>
        </w:rPr>
        <w:t>1</w:t>
      </w:r>
      <w:r w:rsidR="00615AF8" w:rsidRPr="00615AF8">
        <w:rPr>
          <w:lang w:val="en-US"/>
        </w:rPr>
        <w:t>)</w:t>
      </w:r>
      <w:r w:rsidR="00D8729B">
        <w:rPr>
          <w:rStyle w:val="ac"/>
          <w:lang w:val="en-US"/>
        </w:rPr>
        <w:fldChar w:fldCharType="end"/>
      </w:r>
      <w:r w:rsidR="00154393">
        <w:rPr>
          <w:rStyle w:val="ac"/>
          <w:lang w:val="en-US"/>
        </w:rPr>
        <w:t xml:space="preserve"> </w:t>
      </w:r>
      <w:r w:rsidRPr="00102099">
        <w:rPr>
          <w:rStyle w:val="ac"/>
          <w:lang w:val="en-US"/>
        </w:rPr>
        <w:t>defined as</w:t>
      </w:r>
      <w:r>
        <w:rPr>
          <w:lang w:val="en-US"/>
        </w:rPr>
        <w:t>:</w:t>
      </w:r>
    </w:p>
    <w:tbl>
      <w:tblPr>
        <w:tblW w:w="9366" w:type="dxa"/>
        <w:tblInd w:w="108" w:type="dxa"/>
        <w:tblLook w:val="04A0" w:firstRow="1" w:lastRow="0" w:firstColumn="1" w:lastColumn="0" w:noHBand="0" w:noVBand="1"/>
      </w:tblPr>
      <w:tblGrid>
        <w:gridCol w:w="8649"/>
        <w:gridCol w:w="717"/>
      </w:tblGrid>
      <w:tr w:rsidR="008D4D21" w:rsidRPr="00BF3639" w14:paraId="19A2D45A" w14:textId="77777777" w:rsidTr="002E0E03">
        <w:trPr>
          <w:trHeight w:val="1754"/>
        </w:trPr>
        <w:tc>
          <w:tcPr>
            <w:tcW w:w="8649" w:type="dxa"/>
            <w:vAlign w:val="center"/>
          </w:tcPr>
          <w:p w14:paraId="059D9848" w14:textId="50335A41" w:rsidR="008D4D21" w:rsidRPr="00BF3639" w:rsidRDefault="008D4D21" w:rsidP="00BB0457">
            <w:pPr>
              <w:pStyle w:val="a9"/>
            </w:pPr>
            <m:oMathPara>
              <m:oMath>
                <m:r>
                  <m:rPr>
                    <m:sty m:val="p"/>
                  </m:rPr>
                  <w:rPr>
                    <w:rFonts w:ascii="Cambria Math" w:hAnsi="Cambria Math"/>
                  </w:rPr>
                  <m:t>E</m:t>
                </m:r>
                <m:d>
                  <m:dPr>
                    <m:ctrlPr>
                      <w:rPr>
                        <w:rFonts w:ascii="Cambria Math" w:hAnsi="Cambria Math"/>
                        <w:i/>
                        <w:lang w:val="en-US"/>
                      </w:rPr>
                    </m:ctrlPr>
                  </m:dPr>
                  <m:e>
                    <m:r>
                      <w:rPr>
                        <w:rFonts w:ascii="Cambria Math" w:hAnsi="Cambria Math"/>
                        <w:lang w:val="en-US"/>
                      </w:rPr>
                      <m:t>v,h</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m:t>
                    </m:r>
                    <m:d>
                      <m:dPr>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i,k</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i,k</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e>
                            </m:nary>
                            <m:r>
                              <w:rPr>
                                <w:rFonts w:ascii="Cambria Math" w:hAnsi="Cambria Math"/>
                                <w:lang w:val="en-US"/>
                              </w:rPr>
                              <m:t>)</m:t>
                            </m:r>
                          </m:e>
                        </m:nary>
                      </m:e>
                    </m:d>
                  </m:e>
                </m:nary>
                <m:r>
                  <m:rPr>
                    <m:sty m:val="p"/>
                  </m:rPr>
                  <w:rPr>
                    <w:rFonts w:ascii="Cambria Math" w:hAnsi="Cambria Math"/>
                  </w:rPr>
                  <m:t>.</m:t>
                </m:r>
              </m:oMath>
            </m:oMathPara>
          </w:p>
        </w:tc>
        <w:tc>
          <w:tcPr>
            <w:tcW w:w="717" w:type="dxa"/>
            <w:vAlign w:val="center"/>
          </w:tcPr>
          <w:p w14:paraId="09E7B8A2" w14:textId="7B1ED9AC" w:rsidR="008D4D21" w:rsidRPr="00BF3639" w:rsidRDefault="008D4D21" w:rsidP="00BB0457">
            <w:pPr>
              <w:pStyle w:val="-1"/>
            </w:pPr>
            <w:bookmarkStart w:id="6" w:name="_Ref98172175"/>
            <w:r>
              <w:t>(</w:t>
            </w:r>
            <w:r>
              <w:fldChar w:fldCharType="begin"/>
            </w:r>
            <w:r>
              <w:instrText xml:space="preserve"> SEQ Формула \* ARABIC </w:instrText>
            </w:r>
            <w:r>
              <w:fldChar w:fldCharType="separate"/>
            </w:r>
            <w:r w:rsidR="00615AF8">
              <w:rPr>
                <w:noProof/>
              </w:rPr>
              <w:t>1</w:t>
            </w:r>
            <w:r>
              <w:rPr>
                <w:noProof/>
              </w:rPr>
              <w:fldChar w:fldCharType="end"/>
            </w:r>
            <w:r>
              <w:t>)</w:t>
            </w:r>
            <w:bookmarkEnd w:id="6"/>
          </w:p>
        </w:tc>
      </w:tr>
    </w:tbl>
    <w:p w14:paraId="3A6DC68C" w14:textId="5976E203" w:rsidR="00B73D4C" w:rsidRDefault="00B73D4C" w:rsidP="00102099">
      <w:pPr>
        <w:pStyle w:val="ab"/>
        <w:rPr>
          <w:lang w:val="en-US"/>
        </w:rPr>
      </w:pPr>
      <w:r w:rsidRPr="00B73D4C">
        <w:rPr>
          <w:lang w:val="en-US"/>
        </w:rPr>
        <w:t>In this work, we use Mean Squared Error (MSE) as the loss function</w:t>
      </w:r>
      <w:r>
        <w:rPr>
          <w:lang w:val="en-US"/>
        </w:rPr>
        <w:t>:</w:t>
      </w:r>
    </w:p>
    <w:p w14:paraId="0A983D76" w14:textId="083BADE8" w:rsidR="00B73D4C" w:rsidRDefault="00B73D4C" w:rsidP="00B73D4C">
      <w:pPr>
        <w:pStyle w:val="a9"/>
        <w:rPr>
          <w:lang w:val="en-US"/>
        </w:rPr>
      </w:pPr>
      <m:oMath>
        <m:r>
          <w:rPr>
            <w:rFonts w:ascii="Cambria Math" w:hAnsi="Cambria Math"/>
            <w:lang w:val="en-US"/>
          </w:rPr>
          <m:t>L</m:t>
        </m:r>
        <m:d>
          <m:dPr>
            <m:ctrlPr>
              <w:rPr>
                <w:rFonts w:ascii="Cambria Math" w:hAnsi="Cambria Math"/>
                <w:lang w:val="en-US"/>
              </w:rPr>
            </m:ctrlPr>
          </m:dPr>
          <m:e>
            <m:r>
              <w:rPr>
                <w:rFonts w:ascii="Cambria Math" w:hAnsi="Cambria Math"/>
                <w:lang w:val="en-US"/>
              </w:rPr>
              <m:t>W</m:t>
            </m:r>
          </m:e>
        </m:d>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Net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W</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i</m:t>
                    </m:r>
                  </m:sub>
                </m:sSub>
              </m:e>
            </m:d>
            <m:sSup>
              <m:sSupPr>
                <m:ctrlPr>
                  <w:rPr>
                    <w:rFonts w:ascii="Cambria Math" w:hAnsi="Cambria Math"/>
                    <w:lang w:val="en-US"/>
                  </w:rPr>
                </m:ctrlPr>
              </m:sSupPr>
              <m:e>
                <m:r>
                  <m:rPr>
                    <m:sty m:val="p"/>
                  </m:rPr>
                  <w:rPr>
                    <w:rFonts w:ascii="Cambria Math" w:hAnsi="Cambria Math"/>
                    <w:lang w:val="en-US"/>
                  </w:rPr>
                  <m:t>||</m:t>
                </m:r>
              </m:e>
              <m:sup>
                <m:r>
                  <m:rPr>
                    <m:sty m:val="p"/>
                  </m:rPr>
                  <w:rPr>
                    <w:rFonts w:ascii="Cambria Math" w:hAnsi="Cambria Math"/>
                    <w:lang w:val="en-US"/>
                  </w:rPr>
                  <m:t>2</m:t>
                </m:r>
              </m:sup>
            </m:sSup>
          </m:e>
        </m:nary>
      </m:oMath>
      <w:r w:rsidR="00102099">
        <w:rPr>
          <w:lang w:val="en-US"/>
        </w:rPr>
        <w:t>.</w:t>
      </w:r>
    </w:p>
    <w:p w14:paraId="2A17DCE5" w14:textId="1494594A" w:rsidR="0099645D" w:rsidRPr="00A9282A" w:rsidRDefault="00102099" w:rsidP="0099645D">
      <w:pPr>
        <w:pStyle w:val="ab"/>
        <w:rPr>
          <w:lang w:val="en-US"/>
        </w:rPr>
      </w:pPr>
      <w:r>
        <w:rPr>
          <w:lang w:val="en-US"/>
        </w:rPr>
        <w:t>w</w:t>
      </w:r>
      <w:r w:rsidR="0099645D">
        <w:rPr>
          <w:lang w:val="en-US"/>
        </w:rPr>
        <w:t>here</w:t>
      </w:r>
      <w:r w:rsidR="00AD1D40">
        <w:rPr>
          <w:lang w:val="en-US"/>
        </w:rPr>
        <w:t>:</w:t>
      </w:r>
      <m:oMath>
        <m:r>
          <w:rPr>
            <w:rFonts w:ascii="Cambria Math" w:hAnsi="Cambria Math"/>
            <w:lang w:val="en-US"/>
          </w:rPr>
          <m:t xml:space="preserve"> </m:t>
        </m:r>
        <m:r>
          <w:rPr>
            <w:rFonts w:ascii="Cambria Math" w:hAnsi="Cambria Math"/>
            <w:lang w:val="en-US"/>
          </w:rPr>
          <m:t xml:space="preserve">N </m:t>
        </m:r>
      </m:oMath>
      <w:r w:rsidR="00154393">
        <w:rPr>
          <w:lang w:val="en-US"/>
        </w:rPr>
        <w:t xml:space="preserve"> </w:t>
      </w:r>
      <w:proofErr w:type="gramStart"/>
      <w:r w:rsidR="00D8729B" w:rsidRPr="00D8729B">
        <w:rPr>
          <w:lang w:val="en-US"/>
        </w:rPr>
        <w:t>– </w:t>
      </w:r>
      <w:r w:rsidR="008D4D21" w:rsidRPr="008D4D21">
        <w:rPr>
          <w:lang w:val="en-US"/>
        </w:rPr>
        <w:t xml:space="preserve"> </w:t>
      </w:r>
      <w:r w:rsidR="0099645D" w:rsidRPr="0099645D">
        <w:rPr>
          <w:lang w:val="en-US"/>
        </w:rPr>
        <w:t>is</w:t>
      </w:r>
      <w:proofErr w:type="gramEnd"/>
      <w:r w:rsidR="0099645D" w:rsidRPr="0099645D">
        <w:rPr>
          <w:lang w:val="en-US"/>
        </w:rPr>
        <w:t xml:space="preserve"> the number of the training samples</w:t>
      </w:r>
      <w:r w:rsidR="00A9282A" w:rsidRPr="00A9282A">
        <w:rPr>
          <w:lang w:val="en-US"/>
        </w:rPr>
        <w:t>,</w:t>
      </w:r>
    </w:p>
    <w:p w14:paraId="6FDD6CAE" w14:textId="0C83FDED" w:rsidR="00B73D4C" w:rsidRPr="00B73D4C" w:rsidRDefault="00AD1D40" w:rsidP="0099645D">
      <w:pPr>
        <w:pStyle w:val="afe"/>
        <w:rPr>
          <w:lang w:val="en-US"/>
        </w:rPr>
      </w:pPr>
      <m:oMath>
        <m:r>
          <w:rPr>
            <w:rFonts w:ascii="Cambria Math" w:hAnsi="Cambria Math"/>
            <w:lang w:val="en-US"/>
          </w:rPr>
          <m:t xml:space="preserve">W </m:t>
        </m:r>
      </m:oMath>
      <w:r w:rsidR="00154393">
        <w:rPr>
          <w:lang w:val="en-US"/>
        </w:rPr>
        <w:t xml:space="preserve"> </w:t>
      </w:r>
      <w:r w:rsidR="00154393" w:rsidRPr="00D8729B">
        <w:rPr>
          <w:lang w:val="en-US"/>
        </w:rPr>
        <w:t>–</w:t>
      </w:r>
      <w:r w:rsidR="00154393">
        <w:rPr>
          <w:lang w:val="en-US"/>
        </w:rPr>
        <w:t xml:space="preserve"> </w:t>
      </w:r>
      <w:r w:rsidR="00154393" w:rsidRPr="00D8729B">
        <w:rPr>
          <w:lang w:val="en-US"/>
        </w:rPr>
        <w:t> </w:t>
      </w:r>
      <w:r w:rsidR="0099645D" w:rsidRPr="0099645D">
        <w:rPr>
          <w:lang w:val="en-US"/>
        </w:rPr>
        <w:t>stochastic gradient descent</w:t>
      </w:r>
      <w:r w:rsidR="0099645D">
        <w:rPr>
          <w:lang w:val="en-US"/>
        </w:rPr>
        <w:t>.</w:t>
      </w:r>
    </w:p>
    <w:p w14:paraId="00178DD3" w14:textId="2AB97D4A" w:rsidR="00A6589D" w:rsidRDefault="00A6589D" w:rsidP="00A6589D">
      <w:pPr>
        <w:pStyle w:val="2"/>
      </w:pPr>
      <w:proofErr w:type="spellStart"/>
      <w:r w:rsidRPr="00A6589D">
        <w:t>Adding</w:t>
      </w:r>
      <w:proofErr w:type="spellEnd"/>
      <w:r w:rsidRPr="00A6589D">
        <w:t xml:space="preserve"> </w:t>
      </w:r>
      <w:proofErr w:type="spellStart"/>
      <w:r w:rsidRPr="00A6589D">
        <w:t>Rotations</w:t>
      </w:r>
      <w:proofErr w:type="spellEnd"/>
    </w:p>
    <w:p w14:paraId="3DA3BFB2" w14:textId="5E74964A" w:rsidR="00A6589D" w:rsidRPr="00AD1D40" w:rsidRDefault="00A6589D" w:rsidP="008D4D21">
      <w:pPr>
        <w:rPr>
          <w:lang w:val="en-US"/>
        </w:rPr>
      </w:pPr>
      <w:r w:rsidRPr="00A6589D">
        <w:rPr>
          <w:lang w:val="en-US"/>
        </w:rPr>
        <w:t xml:space="preserve">When training the neural network </w:t>
      </w:r>
      <w:proofErr w:type="gramStart"/>
      <w:r w:rsidRPr="00A6589D">
        <w:rPr>
          <w:lang w:val="en-US"/>
        </w:rPr>
        <w:t>f</w:t>
      </w:r>
      <w:proofErr w:type="gramEnd"/>
      <w:r w:rsidRPr="00A6589D">
        <w:rPr>
          <w:lang w:val="en-US"/>
        </w:rPr>
        <w:t xml:space="preserve"> we found that it is useful to rotate each training case by a random angle each time it is processed. Since many cities have large areas where the road network forms a grid, training on data without rotations will result in a model that is better at detecting roads at certain orientations. By randomly rotating the training cases the resulting models do not favor roads in any particular orientation.</w:t>
      </w:r>
    </w:p>
    <w:p w14:paraId="1BAD3E2E" w14:textId="360BDD45" w:rsidR="00A6589D" w:rsidRPr="000C1DF1" w:rsidRDefault="00A6589D" w:rsidP="00AD1D40">
      <w:pPr>
        <w:rPr>
          <w:lang w:val="en-US"/>
        </w:rPr>
      </w:pPr>
      <w:r w:rsidRPr="00A6589D">
        <w:rPr>
          <w:lang w:val="en-US"/>
        </w:rPr>
        <w:t>We propose a large-scale learning approach to road detection that addresses all three problems as follows</w:t>
      </w:r>
    </w:p>
    <w:p w14:paraId="49D9360E" w14:textId="6BC6BB99" w:rsidR="00A6589D" w:rsidRPr="00A6589D" w:rsidRDefault="00A6589D" w:rsidP="00A6589D">
      <w:pPr>
        <w:pStyle w:val="a0"/>
      </w:pPr>
      <w:r w:rsidRPr="00A6589D">
        <w:t>We use synthetic road/non-road labels that we generate from readily available vector road maps. This allows us to generate much larger labelled datasets than the ones that have been used in the past</w:t>
      </w:r>
      <w:r w:rsidR="00D8729B">
        <w:t>;</w:t>
      </w:r>
    </w:p>
    <w:p w14:paraId="61696331" w14:textId="4217D4FE" w:rsidR="00A6589D" w:rsidRPr="00AD1D40" w:rsidRDefault="00A6589D" w:rsidP="00AD1D40">
      <w:pPr>
        <w:pStyle w:val="a0"/>
      </w:pPr>
      <w:r w:rsidRPr="00A6589D">
        <w:t>By using neural networks implemented on a graphics processor as our predictors we are able to efficiently learn a large number of features and use a large context for making predictions</w:t>
      </w:r>
      <w:r w:rsidR="00D8729B">
        <w:t>;</w:t>
      </w:r>
    </w:p>
    <w:p w14:paraId="18A28DC9" w14:textId="43EA6D84" w:rsidR="00A47EA8" w:rsidRPr="00AD1D40" w:rsidRDefault="00A6589D" w:rsidP="00AD1D40">
      <w:pPr>
        <w:rPr>
          <w:lang w:val="en-US"/>
        </w:rPr>
      </w:pPr>
      <w:r w:rsidRPr="00A6589D">
        <w:rPr>
          <w:lang w:val="en-US"/>
        </w:rPr>
        <w:t>One major study of our work is the effectiveness of training multi-spectral data in image recognition.</w:t>
      </w:r>
    </w:p>
    <w:p w14:paraId="3CE7309C" w14:textId="57393F9F" w:rsidR="00A6589D" w:rsidRPr="00A6589D" w:rsidRDefault="00A6589D" w:rsidP="00A6589D">
      <w:pPr>
        <w:pStyle w:val="a"/>
        <w:numPr>
          <w:ilvl w:val="0"/>
          <w:numId w:val="25"/>
        </w:numPr>
        <w:tabs>
          <w:tab w:val="clear" w:pos="993"/>
        </w:tabs>
      </w:pPr>
      <w:r w:rsidRPr="00A6589D">
        <w:t>We simultaneously investigate the impact of using models with different complexities</w:t>
      </w:r>
      <w:r w:rsidR="00D8729B">
        <w:t>;</w:t>
      </w:r>
    </w:p>
    <w:p w14:paraId="37486FF2" w14:textId="6601E96E" w:rsidR="00A6589D" w:rsidRPr="00AD1D40" w:rsidRDefault="00A6589D" w:rsidP="00A6589D">
      <w:pPr>
        <w:pStyle w:val="a"/>
        <w:numPr>
          <w:ilvl w:val="0"/>
          <w:numId w:val="25"/>
        </w:numPr>
        <w:tabs>
          <w:tab w:val="clear" w:pos="993"/>
        </w:tabs>
      </w:pPr>
      <w:r w:rsidRPr="00A6589D">
        <w:t>Aerial farmland images contain annotations with vastly different sizes</w:t>
      </w:r>
      <w:r w:rsidR="002E0E03">
        <w:t xml:space="preserve"> (</w:t>
      </w:r>
      <w:r w:rsidR="002E0E03">
        <w:fldChar w:fldCharType="begin"/>
      </w:r>
      <w:r w:rsidR="002E0E03">
        <w:instrText xml:space="preserve"> REF _Ref163131823 \h </w:instrText>
      </w:r>
      <w:r w:rsidR="002E0E03">
        <w:fldChar w:fldCharType="separate"/>
      </w:r>
      <w:r w:rsidR="00615AF8" w:rsidRPr="002E0E03">
        <w:t xml:space="preserve">Figure </w:t>
      </w:r>
      <w:r w:rsidR="00615AF8">
        <w:rPr>
          <w:noProof/>
        </w:rPr>
        <w:t>2</w:t>
      </w:r>
      <w:r w:rsidR="002E0E03">
        <w:fldChar w:fldCharType="end"/>
      </w:r>
      <w:r w:rsidR="002E0E03">
        <w:t>)</w:t>
      </w:r>
      <w:r w:rsidR="00D8729B">
        <w:t>;</w:t>
      </w:r>
    </w:p>
    <w:p w14:paraId="05568A24" w14:textId="2BF01AB8" w:rsidR="00A47EA8" w:rsidRPr="00AD1D40" w:rsidRDefault="00A6589D" w:rsidP="00A47EA8">
      <w:pPr>
        <w:pStyle w:val="a"/>
        <w:numPr>
          <w:ilvl w:val="0"/>
          <w:numId w:val="25"/>
        </w:numPr>
      </w:pPr>
      <w:r w:rsidRPr="00A6589D">
        <w:t xml:space="preserve">In order to justify our choice of using 512 × 512 windows to construct the </w:t>
      </w:r>
      <w:proofErr w:type="gramStart"/>
      <w:r w:rsidRPr="00A6589D">
        <w:t>Agriculture</w:t>
      </w:r>
      <w:proofErr w:type="gramEnd"/>
      <w:r w:rsidRPr="00A6589D">
        <w:t>-Vision dataset, we additionally generate two versions of the dataset with different window sizes</w:t>
      </w:r>
      <w:r w:rsidR="00D8729B">
        <w:t>;</w:t>
      </w:r>
    </w:p>
    <w:p w14:paraId="44166D37" w14:textId="77777777" w:rsidR="002E0E03" w:rsidRDefault="00A47EA8" w:rsidP="002E0E03">
      <w:pPr>
        <w:pStyle w:val="af0"/>
      </w:pPr>
      <w:r>
        <w:rPr>
          <w:noProof/>
        </w:rPr>
        <w:lastRenderedPageBreak/>
        <w:drawing>
          <wp:inline distT="0" distB="0" distL="0" distR="0" wp14:anchorId="07871AF5" wp14:editId="6521EA44">
            <wp:extent cx="2880053" cy="4274220"/>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9"/>
                    <a:stretch>
                      <a:fillRect/>
                    </a:stretch>
                  </pic:blipFill>
                  <pic:spPr>
                    <a:xfrm>
                      <a:off x="0" y="0"/>
                      <a:ext cx="2880053" cy="4274220"/>
                    </a:xfrm>
                    <a:prstGeom prst="rect">
                      <a:avLst/>
                    </a:prstGeom>
                  </pic:spPr>
                </pic:pic>
              </a:graphicData>
            </a:graphic>
          </wp:inline>
        </w:drawing>
      </w:r>
    </w:p>
    <w:p w14:paraId="1D23E84C" w14:textId="02C802B2" w:rsidR="00154393" w:rsidRPr="002E0E03" w:rsidRDefault="002E0E03" w:rsidP="002E0E03">
      <w:pPr>
        <w:pStyle w:val="-0"/>
        <w:rPr>
          <w:szCs w:val="16"/>
          <w:lang w:val="en-US"/>
        </w:rPr>
      </w:pPr>
      <w:bookmarkStart w:id="7" w:name="_Ref163131823"/>
      <w:r w:rsidRPr="002E0E03">
        <w:rPr>
          <w:lang w:val="en-US"/>
        </w:rPr>
        <w:t xml:space="preserve">Figure </w:t>
      </w:r>
      <w:r>
        <w:fldChar w:fldCharType="begin"/>
      </w:r>
      <w:r w:rsidRPr="002E0E03">
        <w:rPr>
          <w:lang w:val="en-US"/>
        </w:rPr>
        <w:instrText xml:space="preserve"> SEQ Figure \* ARABIC </w:instrText>
      </w:r>
      <w:r>
        <w:fldChar w:fldCharType="separate"/>
      </w:r>
      <w:r w:rsidR="00615AF8">
        <w:rPr>
          <w:noProof/>
          <w:lang w:val="en-US"/>
        </w:rPr>
        <w:t>2</w:t>
      </w:r>
      <w:r>
        <w:fldChar w:fldCharType="end"/>
      </w:r>
      <w:bookmarkEnd w:id="7"/>
      <w:r>
        <w:rPr>
          <w:lang w:val="en-US"/>
        </w:rPr>
        <w:t xml:space="preserve"> </w:t>
      </w:r>
      <w:r w:rsidRPr="00154393">
        <w:rPr>
          <w:noProof/>
          <w:lang w:val="en-US"/>
        </w:rPr>
        <w:t>– </w:t>
      </w:r>
      <w:r>
        <w:rPr>
          <w:noProof/>
          <w:lang w:val="en-US"/>
        </w:rPr>
        <w:t xml:space="preserve"> T</w:t>
      </w:r>
      <w:r w:rsidRPr="00154393">
        <w:rPr>
          <w:noProof/>
          <w:lang w:val="en-US"/>
        </w:rPr>
        <w:t>he pixel resolution</w:t>
      </w:r>
    </w:p>
    <w:p w14:paraId="024328AC" w14:textId="6F804DD5" w:rsidR="0099645D" w:rsidRPr="00A47EA8" w:rsidRDefault="0099645D" w:rsidP="00A9282A">
      <w:pPr>
        <w:rPr>
          <w:lang w:val="en-US"/>
        </w:rPr>
      </w:pPr>
      <w:r w:rsidRPr="0099645D">
        <w:rPr>
          <w:lang w:val="en-US"/>
        </w:rPr>
        <w:t>The dropout method operates on the fully connected layers to avoid overfitting because a fully connected layer usually contains a large number of parameters</w:t>
      </w:r>
    </w:p>
    <w:p w14:paraId="700A7C82" w14:textId="44A045F8" w:rsidR="00A47EA8" w:rsidRPr="000715FA" w:rsidRDefault="0099645D" w:rsidP="0099645D">
      <w:pPr>
        <w:pStyle w:val="a9"/>
        <w:rPr>
          <w:noProof/>
          <w:lang w:val="en-US"/>
        </w:rPr>
      </w:pPr>
      <m:oMathPara>
        <m:oMath>
          <m:r>
            <w:rPr>
              <w:rFonts w:ascii="Cambria Math" w:hAnsi="Cambria Math"/>
              <w:noProof/>
              <w:lang w:val="en-US"/>
            </w:rPr>
            <m:t>P</m:t>
          </m:r>
          <m:d>
            <m:dPr>
              <m:ctrlPr>
                <w:rPr>
                  <w:rFonts w:ascii="Cambria Math" w:hAnsi="Cambria Math"/>
                  <w:i/>
                  <w:noProof/>
                  <w:lang w:val="en-US"/>
                </w:rPr>
              </m:ctrlPr>
            </m:dPr>
            <m:e>
              <m:sSub>
                <m:sSubPr>
                  <m:ctrlPr>
                    <w:rPr>
                      <w:rFonts w:ascii="Cambria Math" w:hAnsi="Cambria Math"/>
                      <w:i/>
                      <w:noProof/>
                      <w:lang w:val="en-US"/>
                    </w:rPr>
                  </m:ctrlPr>
                </m:sSubPr>
                <m:e>
                  <m:r>
                    <w:rPr>
                      <w:rFonts w:ascii="Cambria Math" w:hAnsi="Cambria Math"/>
                      <w:noProof/>
                      <w:lang w:val="en-US"/>
                    </w:rPr>
                    <m:t>y</m:t>
                  </m:r>
                </m:e>
                <m:sub>
                  <m:r>
                    <w:rPr>
                      <w:rFonts w:ascii="Cambria Math" w:hAnsi="Cambria Math"/>
                      <w:noProof/>
                      <w:lang w:val="en-US"/>
                    </w:rPr>
                    <m:t>i</m:t>
                  </m:r>
                </m:sub>
              </m:sSub>
            </m:e>
          </m:d>
          <m:r>
            <w:rPr>
              <w:rFonts w:ascii="Cambria Math" w:hAnsi="Cambria Math"/>
              <w:noProof/>
              <w:lang w:val="en-US"/>
            </w:rPr>
            <m:t>=</m:t>
          </m:r>
          <m:f>
            <m:fPr>
              <m:ctrlPr>
                <w:rPr>
                  <w:rFonts w:ascii="Cambria Math" w:hAnsi="Cambria Math"/>
                  <w:i/>
                  <w:noProof/>
                  <w:lang w:val="en-US"/>
                </w:rPr>
              </m:ctrlPr>
            </m:fPr>
            <m:num>
              <m:sSup>
                <m:sSupPr>
                  <m:ctrlPr>
                    <w:rPr>
                      <w:rFonts w:ascii="Cambria Math" w:hAnsi="Cambria Math"/>
                      <w:i/>
                      <w:noProof/>
                      <w:lang w:val="en-US"/>
                    </w:rPr>
                  </m:ctrlPr>
                </m:sSupPr>
                <m:e>
                  <m:r>
                    <w:rPr>
                      <w:rFonts w:ascii="Cambria Math" w:hAnsi="Cambria Math"/>
                      <w:noProof/>
                      <w:lang w:val="en-US"/>
                    </w:rPr>
                    <m:t>e</m:t>
                  </m:r>
                </m:e>
                <m:sup>
                  <m:sSub>
                    <m:sSubPr>
                      <m:ctrlPr>
                        <w:rPr>
                          <w:rFonts w:ascii="Cambria Math" w:hAnsi="Cambria Math"/>
                          <w:i/>
                          <w:noProof/>
                          <w:lang w:val="en-US"/>
                        </w:rPr>
                      </m:ctrlPr>
                    </m:sSubPr>
                    <m:e>
                      <m:r>
                        <w:rPr>
                          <w:rFonts w:ascii="Cambria Math" w:hAnsi="Cambria Math"/>
                          <w:noProof/>
                          <w:lang w:val="en-US"/>
                        </w:rPr>
                        <m:t>y</m:t>
                      </m:r>
                    </m:e>
                    <m:sub>
                      <m:r>
                        <w:rPr>
                          <w:rFonts w:ascii="Cambria Math" w:hAnsi="Cambria Math"/>
                          <w:noProof/>
                          <w:lang w:val="en-US"/>
                        </w:rPr>
                        <m:t>i</m:t>
                      </m:r>
                    </m:sub>
                  </m:sSub>
                </m:sup>
              </m:sSup>
            </m:num>
            <m:den>
              <m:nary>
                <m:naryPr>
                  <m:chr m:val="∑"/>
                  <m:limLoc m:val="subSup"/>
                  <m:ctrlPr>
                    <w:rPr>
                      <w:rFonts w:ascii="Cambria Math" w:hAnsi="Cambria Math"/>
                      <w:i/>
                      <w:noProof/>
                      <w:lang w:val="en-US"/>
                    </w:rPr>
                  </m:ctrlPr>
                </m:naryPr>
                <m:sub>
                  <m:r>
                    <w:rPr>
                      <w:rFonts w:ascii="Cambria Math" w:hAnsi="Cambria Math"/>
                      <w:noProof/>
                      <w:lang w:val="en-US"/>
                    </w:rPr>
                    <m:t>i=1</m:t>
                  </m:r>
                </m:sub>
                <m:sup>
                  <m:r>
                    <w:rPr>
                      <w:rFonts w:ascii="Cambria Math" w:hAnsi="Cambria Math"/>
                      <w:noProof/>
                      <w:lang w:val="en-US"/>
                    </w:rPr>
                    <m:t>c</m:t>
                  </m:r>
                </m:sup>
                <m:e>
                  <m:sSup>
                    <m:sSupPr>
                      <m:ctrlPr>
                        <w:rPr>
                          <w:rFonts w:ascii="Cambria Math" w:hAnsi="Cambria Math"/>
                          <w:i/>
                          <w:noProof/>
                          <w:lang w:val="en-US"/>
                        </w:rPr>
                      </m:ctrlPr>
                    </m:sSupPr>
                    <m:e>
                      <m:r>
                        <w:rPr>
                          <w:rFonts w:ascii="Cambria Math" w:hAnsi="Cambria Math"/>
                          <w:noProof/>
                          <w:lang w:val="en-US"/>
                        </w:rPr>
                        <m:t>e</m:t>
                      </m:r>
                    </m:e>
                    <m:sup>
                      <m:sSub>
                        <m:sSubPr>
                          <m:ctrlPr>
                            <w:rPr>
                              <w:rFonts w:ascii="Cambria Math" w:hAnsi="Cambria Math"/>
                              <w:i/>
                              <w:noProof/>
                              <w:lang w:val="en-US"/>
                            </w:rPr>
                          </m:ctrlPr>
                        </m:sSubPr>
                        <m:e>
                          <m:r>
                            <w:rPr>
                              <w:rFonts w:ascii="Cambria Math" w:hAnsi="Cambria Math"/>
                              <w:noProof/>
                              <w:lang w:val="en-US"/>
                            </w:rPr>
                            <m:t>y</m:t>
                          </m:r>
                        </m:e>
                        <m:sub>
                          <m:r>
                            <w:rPr>
                              <w:rFonts w:ascii="Cambria Math" w:hAnsi="Cambria Math"/>
                              <w:noProof/>
                              <w:lang w:val="en-US"/>
                            </w:rPr>
                            <m:t>i</m:t>
                          </m:r>
                        </m:sub>
                      </m:sSub>
                    </m:sup>
                  </m:sSup>
                </m:e>
              </m:nary>
            </m:den>
          </m:f>
          <m:r>
            <w:rPr>
              <w:rFonts w:ascii="Cambria Math" w:hAnsi="Cambria Math"/>
              <w:noProof/>
              <w:lang w:val="en-US"/>
            </w:rPr>
            <m:t>.</m:t>
          </m:r>
        </m:oMath>
      </m:oMathPara>
    </w:p>
    <w:sectPr w:rsidR="00A47EA8" w:rsidRPr="000715FA" w:rsidSect="00AA1368">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50D2E" w14:textId="77777777" w:rsidR="00AA1368" w:rsidRDefault="00AA1368" w:rsidP="00CE1201">
      <w:r>
        <w:separator/>
      </w:r>
    </w:p>
  </w:endnote>
  <w:endnote w:type="continuationSeparator" w:id="0">
    <w:p w14:paraId="30A92DD0" w14:textId="77777777" w:rsidR="00AA1368" w:rsidRDefault="00AA1368"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Content>
      <w:p w14:paraId="2644F5AD" w14:textId="77777777" w:rsidR="002D5057" w:rsidRDefault="00000000">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AE49" w14:textId="77777777" w:rsidR="00AA1368" w:rsidRDefault="00AA1368" w:rsidP="00CE1201">
      <w:r>
        <w:separator/>
      </w:r>
    </w:p>
  </w:footnote>
  <w:footnote w:type="continuationSeparator" w:id="0">
    <w:p w14:paraId="0161A572" w14:textId="77777777" w:rsidR="00AA1368" w:rsidRDefault="00AA1368"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99C"/>
    <w:multiLevelType w:val="multilevel"/>
    <w:tmpl w:val="7A14BAC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351568"/>
    <w:multiLevelType w:val="multilevel"/>
    <w:tmpl w:val="1A86CEA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22763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39763679">
    <w:abstractNumId w:val="16"/>
  </w:num>
  <w:num w:numId="2" w16cid:durableId="1822698364">
    <w:abstractNumId w:val="4"/>
  </w:num>
  <w:num w:numId="3" w16cid:durableId="238249717">
    <w:abstractNumId w:val="6"/>
  </w:num>
  <w:num w:numId="4" w16cid:durableId="612054861">
    <w:abstractNumId w:val="7"/>
  </w:num>
  <w:num w:numId="5" w16cid:durableId="1585184917">
    <w:abstractNumId w:val="13"/>
  </w:num>
  <w:num w:numId="6" w16cid:durableId="938099638">
    <w:abstractNumId w:val="12"/>
  </w:num>
  <w:num w:numId="7" w16cid:durableId="1044643969">
    <w:abstractNumId w:val="14"/>
  </w:num>
  <w:num w:numId="8" w16cid:durableId="1562862170">
    <w:abstractNumId w:val="3"/>
  </w:num>
  <w:num w:numId="9" w16cid:durableId="489907198">
    <w:abstractNumId w:val="9"/>
  </w:num>
  <w:num w:numId="10" w16cid:durableId="222177892">
    <w:abstractNumId w:val="10"/>
  </w:num>
  <w:num w:numId="11" w16cid:durableId="1749769811">
    <w:abstractNumId w:val="10"/>
  </w:num>
  <w:num w:numId="12" w16cid:durableId="1469588278">
    <w:abstractNumId w:val="8"/>
  </w:num>
  <w:num w:numId="13" w16cid:durableId="542522685">
    <w:abstractNumId w:val="2"/>
  </w:num>
  <w:num w:numId="14" w16cid:durableId="956067253">
    <w:abstractNumId w:val="2"/>
    <w:lvlOverride w:ilvl="0">
      <w:startOverride w:val="1"/>
    </w:lvlOverride>
  </w:num>
  <w:num w:numId="15" w16cid:durableId="148598590">
    <w:abstractNumId w:val="2"/>
    <w:lvlOverride w:ilvl="0">
      <w:lvl w:ilvl="0" w:tplc="8BC45528">
        <w:start w:val="1"/>
        <w:numFmt w:val="decimal"/>
        <w:pStyle w:val="a"/>
        <w:lvlText w:val="%1)"/>
        <w:lvlJc w:val="left"/>
        <w:pPr>
          <w:tabs>
            <w:tab w:val="num" w:pos="425"/>
          </w:tabs>
          <w:ind w:left="-567"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1909026579">
    <w:abstractNumId w:val="2"/>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16cid:durableId="581182811">
    <w:abstractNumId w:val="2"/>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16cid:durableId="1716850736">
    <w:abstractNumId w:val="15"/>
  </w:num>
  <w:num w:numId="19" w16cid:durableId="1659727267">
    <w:abstractNumId w:val="2"/>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16cid:durableId="1759055725">
    <w:abstractNumId w:val="2"/>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367097046">
    <w:abstractNumId w:val="2"/>
    <w:lvlOverride w:ilvl="0">
      <w:startOverride w:val="1"/>
      <w:lvl w:ilvl="0" w:tplc="8BC45528">
        <w:start w:val="1"/>
        <w:numFmt w:val="decimal"/>
        <w:pStyle w:val="a"/>
        <w:lvlText w:val="%1"/>
        <w:lvlJc w:val="left"/>
        <w:pPr>
          <w:ind w:left="1069" w:hanging="360"/>
        </w:pPr>
        <w:rPr>
          <w:rFonts w:hint="default"/>
          <w:lang w:val="ru-RU"/>
        </w:rPr>
      </w:lvl>
    </w:lvlOverride>
  </w:num>
  <w:num w:numId="22" w16cid:durableId="1919943050">
    <w:abstractNumId w:val="11"/>
  </w:num>
  <w:num w:numId="23" w16cid:durableId="2027751538">
    <w:abstractNumId w:val="5"/>
  </w:num>
  <w:num w:numId="24" w16cid:durableId="253975035">
    <w:abstractNumId w:val="0"/>
  </w:num>
  <w:num w:numId="25" w16cid:durableId="179975770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715FA"/>
    <w:rsid w:val="00093571"/>
    <w:rsid w:val="000C1DF1"/>
    <w:rsid w:val="000E4A90"/>
    <w:rsid w:val="000E59B0"/>
    <w:rsid w:val="00102099"/>
    <w:rsid w:val="00103D07"/>
    <w:rsid w:val="00107ED6"/>
    <w:rsid w:val="00114E2E"/>
    <w:rsid w:val="00150EBD"/>
    <w:rsid w:val="00154393"/>
    <w:rsid w:val="00162877"/>
    <w:rsid w:val="001B33F9"/>
    <w:rsid w:val="001E64B0"/>
    <w:rsid w:val="001F638D"/>
    <w:rsid w:val="001F6B38"/>
    <w:rsid w:val="00204989"/>
    <w:rsid w:val="0022642D"/>
    <w:rsid w:val="00241D6A"/>
    <w:rsid w:val="0027253E"/>
    <w:rsid w:val="002725F2"/>
    <w:rsid w:val="00276C57"/>
    <w:rsid w:val="002900AA"/>
    <w:rsid w:val="00295B35"/>
    <w:rsid w:val="002A267C"/>
    <w:rsid w:val="002D5057"/>
    <w:rsid w:val="002E0E03"/>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15AF8"/>
    <w:rsid w:val="006214A0"/>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8D4D21"/>
    <w:rsid w:val="00900E44"/>
    <w:rsid w:val="00913393"/>
    <w:rsid w:val="00927085"/>
    <w:rsid w:val="00927D24"/>
    <w:rsid w:val="0094143C"/>
    <w:rsid w:val="00942FCB"/>
    <w:rsid w:val="00944AB4"/>
    <w:rsid w:val="00947C12"/>
    <w:rsid w:val="00967CB7"/>
    <w:rsid w:val="009767BB"/>
    <w:rsid w:val="00990BB6"/>
    <w:rsid w:val="00992115"/>
    <w:rsid w:val="00993A0D"/>
    <w:rsid w:val="0099645D"/>
    <w:rsid w:val="009D0887"/>
    <w:rsid w:val="009D35F1"/>
    <w:rsid w:val="00A02407"/>
    <w:rsid w:val="00A121C5"/>
    <w:rsid w:val="00A44FCA"/>
    <w:rsid w:val="00A47EA8"/>
    <w:rsid w:val="00A6589D"/>
    <w:rsid w:val="00A65A8E"/>
    <w:rsid w:val="00A86F3F"/>
    <w:rsid w:val="00A9282A"/>
    <w:rsid w:val="00A929FA"/>
    <w:rsid w:val="00A95B69"/>
    <w:rsid w:val="00AA124B"/>
    <w:rsid w:val="00AA1368"/>
    <w:rsid w:val="00AA4532"/>
    <w:rsid w:val="00AB563E"/>
    <w:rsid w:val="00AC7F0A"/>
    <w:rsid w:val="00AD0812"/>
    <w:rsid w:val="00AD1D40"/>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73D4C"/>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8729B"/>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1363"/>
    <w:rsid w:val="00F82014"/>
    <w:rsid w:val="00F82D30"/>
    <w:rsid w:val="00F96F05"/>
    <w:rsid w:val="00FB0217"/>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0C1DF1"/>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276C57"/>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caption"/>
    <w:basedOn w:val="a3"/>
    <w:next w:val="a3"/>
    <w:uiPriority w:val="35"/>
    <w:unhideWhenUsed/>
    <w:qFormat/>
    <w:rsid w:val="00276C57"/>
    <w:pPr>
      <w:spacing w:after="200" w:line="240" w:lineRule="auto"/>
    </w:pPr>
    <w:rPr>
      <w:i/>
      <w:iCs/>
      <w:color w:val="1F497D" w:themeColor="text2"/>
      <w:sz w:val="18"/>
      <w:szCs w:val="18"/>
    </w:rPr>
  </w:style>
  <w:style w:type="character" w:styleId="aff2">
    <w:name w:val="Strong"/>
    <w:basedOn w:val="a4"/>
    <w:uiPriority w:val="22"/>
    <w:qFormat/>
    <w:rsid w:val="00A47EA8"/>
    <w:rPr>
      <w:b/>
      <w:bCs/>
    </w:rPr>
  </w:style>
  <w:style w:type="character" w:styleId="aff3">
    <w:name w:val="annotation reference"/>
    <w:basedOn w:val="a4"/>
    <w:uiPriority w:val="99"/>
    <w:semiHidden/>
    <w:unhideWhenUsed/>
    <w:rsid w:val="00AD1D40"/>
    <w:rPr>
      <w:sz w:val="16"/>
      <w:szCs w:val="16"/>
    </w:rPr>
  </w:style>
  <w:style w:type="paragraph" w:styleId="aff4">
    <w:name w:val="annotation text"/>
    <w:basedOn w:val="a3"/>
    <w:link w:val="aff5"/>
    <w:uiPriority w:val="99"/>
    <w:semiHidden/>
    <w:unhideWhenUsed/>
    <w:rsid w:val="00AD1D40"/>
    <w:pPr>
      <w:spacing w:line="240" w:lineRule="auto"/>
    </w:pPr>
    <w:rPr>
      <w:sz w:val="20"/>
      <w:szCs w:val="20"/>
    </w:rPr>
  </w:style>
  <w:style w:type="character" w:customStyle="1" w:styleId="aff5">
    <w:name w:val="Текст примечания Знак"/>
    <w:basedOn w:val="a4"/>
    <w:link w:val="aff4"/>
    <w:uiPriority w:val="99"/>
    <w:semiHidden/>
    <w:rsid w:val="00AD1D40"/>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93054">
      <w:bodyDiv w:val="1"/>
      <w:marLeft w:val="0"/>
      <w:marRight w:val="0"/>
      <w:marTop w:val="0"/>
      <w:marBottom w:val="0"/>
      <w:divBdr>
        <w:top w:val="none" w:sz="0" w:space="0" w:color="auto"/>
        <w:left w:val="none" w:sz="0" w:space="0" w:color="auto"/>
        <w:bottom w:val="none" w:sz="0" w:space="0" w:color="auto"/>
        <w:right w:val="none" w:sz="0" w:space="0" w:color="auto"/>
      </w:divBdr>
    </w:div>
    <w:div w:id="900553439">
      <w:bodyDiv w:val="1"/>
      <w:marLeft w:val="0"/>
      <w:marRight w:val="0"/>
      <w:marTop w:val="0"/>
      <w:marBottom w:val="0"/>
      <w:divBdr>
        <w:top w:val="none" w:sz="0" w:space="0" w:color="auto"/>
        <w:left w:val="none" w:sz="0" w:space="0" w:color="auto"/>
        <w:bottom w:val="none" w:sz="0" w:space="0" w:color="auto"/>
        <w:right w:val="none" w:sz="0" w:space="0" w:color="auto"/>
      </w:divBdr>
    </w:div>
    <w:div w:id="131691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246</TotalTime>
  <Pages>3</Pages>
  <Words>561</Words>
  <Characters>3200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Compik /</cp:lastModifiedBy>
  <cp:revision>9</cp:revision>
  <cp:lastPrinted>2016-08-31T12:08:00Z</cp:lastPrinted>
  <dcterms:created xsi:type="dcterms:W3CDTF">2022-08-24T11:55:00Z</dcterms:created>
  <dcterms:modified xsi:type="dcterms:W3CDTF">2024-04-04T10:14:00Z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