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Characteristic</w:t>
      </w:r>
    </w:p>
    <w:p>
      <w:pPr>
        <w:pStyle w:val="BodyText"/>
      </w:pPr>
      <w:r>
        <w:rPr>
          <w:b/>
        </w:rPr>
        <w:t xml:space="preserve">OR</w:t>
      </w:r>
    </w:p>
    <w:p>
      <w:pPr>
        <w:pStyle w:val="BodyText"/>
      </w:pPr>
      <w:r>
        <w:rPr>
          <w:b/>
        </w:rPr>
        <w:t xml:space="preserve">95% CI</w:t>
      </w:r>
    </w:p>
    <w:p>
      <w:pPr>
        <w:pStyle w:val="BodyText"/>
      </w:pPr>
      <w:r>
        <w:rPr>
          <w:b/>
        </w:rPr>
        <w:t xml:space="preserve">p-value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0.71, 1.20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Mortality (within 30 days)</w:t>
      </w:r>
    </w:p>
    <w:p>
      <w:pPr>
        <w:pStyle w:val="BodyText"/>
      </w:pPr>
      <w:r>
        <w:t xml:space="preserve">Dead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0.31</w:t>
      </w:r>
    </w:p>
    <w:p>
      <w:pPr>
        <w:pStyle w:val="BodyText"/>
      </w:pPr>
      <w:r>
        <w:t xml:space="preserve">0.14, 0.61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0.99</w:t>
      </w:r>
    </w:p>
    <w:p>
      <w:pPr>
        <w:pStyle w:val="BodyText"/>
      </w:pPr>
      <w:r>
        <w:t xml:space="preserve">0.99, 1.00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Systolic Blood Pressure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0.99, 1.00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Respiratory rate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0.98, 1.03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GCS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0.88, 1.00</w:t>
      </w:r>
    </w:p>
    <w:p>
      <w:pPr>
        <w:pStyle w:val="BodyText"/>
      </w:pPr>
      <w:r>
        <w:t xml:space="preserve">0.059</w:t>
      </w:r>
    </w:p>
    <w:p>
      <w:pPr>
        <w:pStyle w:val="BodyText"/>
      </w:pPr>
      <w:r>
        <w:t xml:space="preserve">Injury severity score (ISS)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0.93, 0.95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Resuscitation procedure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Radiological intervention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0.09, 0.28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Thoracic drainage</w:t>
      </w:r>
    </w:p>
    <w:p>
      <w:pPr>
        <w:pStyle w:val="BodyText"/>
      </w:pPr>
      <w:r>
        <w:t xml:space="preserve">0.69</w:t>
      </w:r>
    </w:p>
    <w:p>
      <w:pPr>
        <w:pStyle w:val="BodyText"/>
      </w:pPr>
      <w:r>
        <w:t xml:space="preserve">0.42, 1.15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External fracture fixation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0.22, 0.65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Other intervention</w:t>
      </w:r>
    </w:p>
    <w:p>
      <w:pPr>
        <w:pStyle w:val="BodyText"/>
      </w:pPr>
      <w:r>
        <w:t xml:space="preserve">1.10</w:t>
      </w:r>
    </w:p>
    <w:p>
      <w:pPr>
        <w:pStyle w:val="BodyText"/>
      </w:pPr>
      <w:r>
        <w:t xml:space="preserve">0.32, 6.94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Thoracotomy</w:t>
      </w:r>
    </w:p>
    <w:p>
      <w:pPr>
        <w:pStyle w:val="BodyText"/>
      </w:pPr>
      <w:r>
        <w:t xml:space="preserve">1.91</w:t>
      </w:r>
    </w:p>
    <w:p>
      <w:pPr>
        <w:pStyle w:val="BodyText"/>
      </w:pPr>
      <w:r>
        <w:t xml:space="preserve">0.32, 37.6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Craniotomy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0.15, 0.48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Pelvic packing</w:t>
      </w:r>
    </w:p>
    <w:p>
      <w:pPr>
        <w:pStyle w:val="BodyText"/>
      </w:pPr>
      <w:r>
        <w:t xml:space="preserve">228,781</w:t>
      </w:r>
    </w:p>
    <w:p>
      <w:pPr>
        <w:pStyle w:val="BodyText"/>
      </w:pPr>
      <w:r>
        <w:t xml:space="preserve">0.00, NA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Surgical wound revision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0.38, 1.13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Laparotomy - hemostasis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0.29, 0.91</w:t>
      </w:r>
    </w:p>
    <w:p>
      <w:pPr>
        <w:pStyle w:val="BodyText"/>
      </w:pPr>
      <w:r>
        <w:t xml:space="preserve">0.018</w:t>
      </w:r>
    </w:p>
    <w:p>
      <w:pPr>
        <w:pStyle w:val="BodyText"/>
      </w:pPr>
      <w:r>
        <w:t xml:space="preserve">Intracranial pressure measurement as sole intervention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0.07, 0.52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Major fracture surgery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0.29, 0.71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Revascularization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0.06, 0.32</w:t>
      </w:r>
    </w:p>
    <w:p>
      <w:pPr>
        <w:pStyle w:val="BodyText"/>
      </w:pPr>
      <w:r>
        <w:t xml:space="preserve">&lt;0.001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2023-04-10T19:12:36Z</dcterms:created>
  <dcterms:modified xsi:type="dcterms:W3CDTF">2023-04-10T19:12:36Z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