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DEVELOPMENT OF A SECURE CLOUD-BASED PLATFORM FOR GLOBAL SPECIALIST COLLABORATION IN COMPLEX CLINICAL CASE MANAGEMENT</w:t>
      </w:r>
    </w:p>
    <w:p w:rsidR="00000000" w:rsidDel="00000000" w:rsidP="00000000" w:rsidRDefault="00000000" w:rsidRPr="00000000" w14:paraId="00000002">
      <w:pPr>
        <w:spacing w:after="20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after="20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BY</w:t>
      </w:r>
    </w:p>
    <w:p w:rsidR="00000000" w:rsidDel="00000000" w:rsidP="00000000" w:rsidRDefault="00000000" w:rsidRPr="00000000" w14:paraId="00000004">
      <w:pPr>
        <w:spacing w:before="24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keepLines w:val="0"/>
        <w:spacing w:after="200" w:before="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IFEANYICHUKWU JAMES UGWU</w:t>
      </w:r>
    </w:p>
    <w:p w:rsidR="00000000" w:rsidDel="00000000" w:rsidP="00000000" w:rsidRDefault="00000000" w:rsidRPr="00000000" w14:paraId="00000006">
      <w:pPr>
        <w:keepLines w:val="0"/>
        <w:spacing w:after="200" w:before="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21/SC/CO/1022</w:t>
      </w:r>
    </w:p>
    <w:p w:rsidR="00000000" w:rsidDel="00000000" w:rsidP="00000000" w:rsidRDefault="00000000" w:rsidRPr="00000000" w14:paraId="00000007">
      <w:pPr>
        <w:keepLines w:val="0"/>
        <w:spacing w:after="200" w:before="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 OF COMPUTER SCIENCE</w:t>
      </w:r>
    </w:p>
    <w:p w:rsidR="00000000" w:rsidDel="00000000" w:rsidP="00000000" w:rsidRDefault="00000000" w:rsidRPr="00000000" w14:paraId="00000008">
      <w:pPr>
        <w:keepLines w:val="0"/>
        <w:spacing w:after="200" w:before="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UNIVERSITY OF UYO</w:t>
        <w:br w:type="textWrapping"/>
        <w:br w:type="textWrapping"/>
      </w:r>
    </w:p>
    <w:p w:rsidR="00000000" w:rsidDel="00000000" w:rsidP="00000000" w:rsidRDefault="00000000" w:rsidRPr="00000000" w14:paraId="00000009">
      <w:pPr>
        <w:spacing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SUBMITTED TO</w:t>
      </w:r>
    </w:p>
    <w:p w:rsidR="00000000" w:rsidDel="00000000" w:rsidP="00000000" w:rsidRDefault="00000000" w:rsidRPr="00000000" w14:paraId="0000000A">
      <w:pPr>
        <w:spacing w:after="20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PROF. UDUAK A. UMOH</w:t>
      </w:r>
    </w:p>
    <w:p w:rsidR="00000000" w:rsidDel="00000000" w:rsidP="00000000" w:rsidRDefault="00000000" w:rsidRPr="00000000" w14:paraId="0000000B">
      <w:pPr>
        <w:spacing w:before="240" w:line="48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DEPARTMENT OF COMPUTER SCIENCE,</w:t>
      </w:r>
    </w:p>
    <w:p w:rsidR="00000000" w:rsidDel="00000000" w:rsidP="00000000" w:rsidRDefault="00000000" w:rsidRPr="00000000" w14:paraId="0000000D">
      <w:pPr>
        <w:spacing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FACULTY OF COMPUTING,</w:t>
      </w:r>
    </w:p>
    <w:p w:rsidR="00000000" w:rsidDel="00000000" w:rsidP="00000000" w:rsidRDefault="00000000" w:rsidRPr="00000000" w14:paraId="0000000E">
      <w:pPr>
        <w:spacing w:after="16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UNIVERSITY OF UYO</w:t>
      </w:r>
    </w:p>
    <w:p w:rsidR="00000000" w:rsidDel="00000000" w:rsidP="00000000" w:rsidRDefault="00000000" w:rsidRPr="00000000" w14:paraId="0000000F">
      <w:pPr>
        <w:spacing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 PARTIAL FULFILMENT OF THE REQUIREMENTS FOR THE AWARD OF THE DEGREE OF BACHELOR OF SCIENCE AT THE DEPARTMENT OF COMPUTER SCIENCE, UNIVERSITY OF UYO</w:t>
      </w:r>
    </w:p>
    <w:p w:rsidR="00000000" w:rsidDel="00000000" w:rsidP="00000000" w:rsidRDefault="00000000" w:rsidRPr="00000000" w14:paraId="00000010">
      <w:pPr>
        <w:spacing w:after="160" w:before="240"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11">
      <w:pPr>
        <w:spacing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SUPERVISOR:</w:t>
      </w:r>
    </w:p>
    <w:p w:rsidR="00000000" w:rsidDel="00000000" w:rsidP="00000000" w:rsidRDefault="00000000" w:rsidRPr="00000000" w14:paraId="00000012">
      <w:pPr>
        <w:spacing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PROF. UDUAK A. UMOH</w:t>
      </w:r>
      <w:r w:rsidDel="00000000" w:rsidR="00000000" w:rsidRPr="00000000">
        <w:br w:type="page"/>
      </w:r>
      <w:r w:rsidDel="00000000" w:rsidR="00000000" w:rsidRPr="00000000">
        <w:rPr>
          <w:rtl w:val="0"/>
        </w:rPr>
      </w:r>
    </w:p>
    <w:p w:rsidR="00000000" w:rsidDel="00000000" w:rsidP="00000000" w:rsidRDefault="00000000" w:rsidRPr="00000000" w14:paraId="00000013">
      <w:pPr>
        <w:spacing w:before="24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after="20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ONE</w:t>
      </w:r>
    </w:p>
    <w:p w:rsidR="00000000" w:rsidDel="00000000" w:rsidP="00000000" w:rsidRDefault="00000000" w:rsidRPr="00000000" w14:paraId="00000015">
      <w:pPr>
        <w:spacing w:after="20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GENERAL INTRODUCTION</w:t>
      </w:r>
    </w:p>
    <w:p w:rsidR="00000000" w:rsidDel="00000000" w:rsidP="00000000" w:rsidRDefault="00000000" w:rsidRPr="00000000" w14:paraId="00000016">
      <w:pPr>
        <w:pStyle w:val="Heading1"/>
        <w:keepNext w:val="0"/>
        <w:keepLines w:val="0"/>
        <w:spacing w:before="280" w:line="276" w:lineRule="auto"/>
        <w:rPr/>
      </w:pPr>
      <w:bookmarkStart w:colFirst="0" w:colLast="0" w:name="_ygug12s1isgo" w:id="0"/>
      <w:bookmarkEnd w:id="0"/>
      <w:r w:rsidDel="00000000" w:rsidR="00000000" w:rsidRPr="00000000">
        <w:rPr>
          <w:rtl w:val="0"/>
        </w:rPr>
        <w:t xml:space="preserve">1.0 Background of the Study</w:t>
      </w:r>
    </w:p>
    <w:p w:rsidR="00000000" w:rsidDel="00000000" w:rsidP="00000000" w:rsidRDefault="00000000" w:rsidRPr="00000000" w14:paraId="0000001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it comes to the management of complex medical conditions, it usually entails a team of healthcare professionals working together. This is particularly true as rare diseases and multi-system conditions commonly go beyond the expertise of one physician alone. Traditionally, this team depended on face-to-face referrals, which were slow and geographically limited, with long waiting times, lost documents, and limited specialist access (Liddy et al., 2013). In the past 20 years, the development of cloud computing and telemedicine has revolutionized communication by allowing live and delayed interactions that are much more effective than paper-based referral systems (Jin &amp; Chen, 2015; Hsieh &amp; Hsu, 2012). As a result, electronic consultation (e-consultation) systems were created, where PCPs can send specialists structured clinical questions and receive advice without face-to-face meetings (Liddy et al., 2016; Vimalananda et al., 2015).</w:t>
      </w:r>
    </w:p>
    <w:p w:rsidR="00000000" w:rsidDel="00000000" w:rsidP="00000000" w:rsidRDefault="00000000" w:rsidRPr="00000000" w14:paraId="0000001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Studies reveal that e-consultation systems not only shorten waiting times but also reduce the number of unnecessary referrals. Besides, they help to improve the clinical knowledge of physicians via the feedback of specialists (Kwok et al., 2018). An even more sophisticated form is the Virtual Multidisciplinary Tumour Board (VMTB), wherein experts get together virtually to discuss oncology cases. Research findings demonstrate that VMTBs enhance diagnostic assurance, treatment plan, and clinical record keeping through structured and recorded dialogues (Blasi et al., 2021; Gebbia et al., 2021; Hopkins et al., 2022; Rao et al., 2020).</w:t>
      </w:r>
    </w:p>
    <w:p w:rsidR="00000000" w:rsidDel="00000000" w:rsidP="00000000" w:rsidRDefault="00000000" w:rsidRPr="00000000" w14:paraId="0000001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the collaborative healthcare platforms that exist today are mainly used in oncology and also within individual healthcare networks. There is no secure global platform that is widely used and that simultaneously allows geographically separated specialists to come together and evaluate various complex cases while at the same time letting the primary physician have final authority over clinical decisions.</w:t>
      </w:r>
    </w:p>
    <w:p w:rsidR="00000000" w:rsidDel="00000000" w:rsidP="00000000" w:rsidRDefault="00000000" w:rsidRPr="00000000" w14:paraId="0000001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article fills that gap by examining how current cloud technologies could facilitate a formalized workflow for multi-specialist clinical reasoning. The real issue is not the technology; the real challenge is to create a secure, well-governed system with clearly defined roles and responsibilities.</w:t>
      </w:r>
    </w:p>
    <w:p w:rsidR="00000000" w:rsidDel="00000000" w:rsidP="00000000" w:rsidRDefault="00000000" w:rsidRPr="00000000" w14:paraId="0000001B">
      <w:pPr>
        <w:pStyle w:val="Heading1"/>
        <w:keepNext w:val="0"/>
        <w:keepLines w:val="0"/>
        <w:spacing w:before="280" w:line="276" w:lineRule="auto"/>
        <w:rPr/>
      </w:pPr>
      <w:bookmarkStart w:colFirst="0" w:colLast="0" w:name="_x66aph4et7dm" w:id="1"/>
      <w:bookmarkEnd w:id="1"/>
      <w:r w:rsidDel="00000000" w:rsidR="00000000" w:rsidRPr="00000000">
        <w:rPr>
          <w:rtl w:val="0"/>
        </w:rPr>
        <w:t xml:space="preserve">1.1 Problem Statement</w:t>
      </w:r>
    </w:p>
    <w:p w:rsidR="00000000" w:rsidDel="00000000" w:rsidP="00000000" w:rsidRDefault="00000000" w:rsidRPr="00000000" w14:paraId="0000001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to specialist healthcare is still one of the major issues, particularly in low- and middle-income countries (LMICs) where shortage of specialists and inefficient referral systems are the primary reasons for delay in diagnosis and treatment resulting in poorer patient outcomes as well as higher healthcare costs (Miah et al., 2017).</w:t>
      </w:r>
    </w:p>
    <w:p w:rsidR="00000000" w:rsidDel="00000000" w:rsidP="00000000" w:rsidRDefault="00000000" w:rsidRPr="00000000" w14:paraId="0000001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Moreover, multidisciplinary collaboration is usually carried out through informal communication channels such as phone calls, emails, and messaging apps that lack transparency, consistent documentation, and an auditable record of clinical decisions (Kamsu-Foguem et al., 2015). Most of the telemedicine systems in use today facilitate mainly patient-provider interactions and only provide a very limited structured collaborative environment for healthcare professionals. Issues about data privacy, cybersecurity, and regulatory compliance also pose barriers to the use of cloud-based collaboration systems (Chenthara et al., 2019; Esposito et al., 2018).</w:t>
      </w:r>
    </w:p>
    <w:p w:rsidR="00000000" w:rsidDel="00000000" w:rsidP="00000000" w:rsidRDefault="00000000" w:rsidRPr="00000000" w14:paraId="0000001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paper proposes a solution through designing and testing a secure cloud platform which can facilitate the collaboration of specialists who are distributed in different locations for assessing complex clinical cases without compromising on the transparency, proper documentation, and main physician's attribution of final clinical decision.</w:t>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pStyle w:val="Heading1"/>
        <w:spacing w:after="200" w:line="276" w:lineRule="auto"/>
        <w:rPr/>
      </w:pPr>
      <w:bookmarkStart w:colFirst="0" w:colLast="0" w:name="_8plbmyifc2dn" w:id="2"/>
      <w:bookmarkEnd w:id="2"/>
      <w:r w:rsidDel="00000000" w:rsidR="00000000" w:rsidRPr="00000000">
        <w:rPr>
          <w:rtl w:val="0"/>
        </w:rPr>
        <w:t xml:space="preserve">1.2 Aim and Objectives of the Study</w:t>
      </w:r>
    </w:p>
    <w:p w:rsidR="00000000" w:rsidDel="00000000" w:rsidP="00000000" w:rsidRDefault="00000000" w:rsidRPr="00000000" w14:paraId="0000002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Aim: </w:t>
      </w:r>
      <w:r w:rsidDel="00000000" w:rsidR="00000000" w:rsidRPr="00000000">
        <w:rPr>
          <w:rFonts w:ascii="Times New Roman" w:cs="Times New Roman" w:eastAsia="Times New Roman" w:hAnsi="Times New Roman"/>
          <w:sz w:val="26"/>
          <w:szCs w:val="26"/>
          <w:rtl w:val="0"/>
        </w:rPr>
        <w:t xml:space="preserve">Create a working web-based prototype that confirms the technical possibility of facilitating structured collaboration between medical specialists for clinical hypothesis formulation in complex cases. At the same time, the prototype should also demonstrate that the primary physician holds the final clinical decision-making authority.</w:t>
      </w:r>
    </w:p>
    <w:p w:rsidR="00000000" w:rsidDel="00000000" w:rsidP="00000000" w:rsidRDefault="00000000" w:rsidRPr="00000000" w14:paraId="0000002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Objectives:</w:t>
        <w:br w:type="textWrapping"/>
      </w:r>
      <w:r w:rsidDel="00000000" w:rsidR="00000000" w:rsidRPr="00000000">
        <w:rPr>
          <w:rFonts w:ascii="Times New Roman" w:cs="Times New Roman" w:eastAsia="Times New Roman" w:hAnsi="Times New Roman"/>
          <w:sz w:val="26"/>
          <w:szCs w:val="26"/>
          <w:rtl w:val="0"/>
        </w:rPr>
        <w:t xml:space="preserve">The goal of this research is to achieve the following few objectives:</w:t>
      </w:r>
    </w:p>
    <w:p w:rsidR="00000000" w:rsidDel="00000000" w:rsidP="00000000" w:rsidRDefault="00000000" w:rsidRPr="00000000" w14:paraId="00000023">
      <w:pPr>
        <w:numPr>
          <w:ilvl w:val="0"/>
          <w:numId w:val="6"/>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secure web application that combines user authentication, role-based access control with separate roles for Primary Physician and Specialist, and HTTPS encryption of communication throughout the application, and deploy it on a free-tier cloud hosting platform.</w:t>
      </w:r>
    </w:p>
    <w:p w:rsidR="00000000" w:rsidDel="00000000" w:rsidP="00000000" w:rsidRDefault="00000000" w:rsidRPr="00000000" w14:paraId="00000024">
      <w:pPr>
        <w:numPr>
          <w:ilvl w:val="0"/>
          <w:numId w:val="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Craft an integrated case-collaboration workspace that seamlessly connects an asynchronous case discussion thread, a structured hypothesis submission interface, and a differential diagnosis ranking view as a unified workflow.</w:t>
      </w:r>
    </w:p>
    <w:p w:rsidR="00000000" w:rsidDel="00000000" w:rsidP="00000000" w:rsidRDefault="00000000" w:rsidRPr="00000000" w14:paraId="00000025">
      <w:pPr>
        <w:numPr>
          <w:ilvl w:val="0"/>
          <w:numId w:val="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a clinical governance framework that clearly defines the role of the platform as an advisory one and the primary physician as the decision-maker, and document it properly.</w:t>
      </w:r>
    </w:p>
    <w:p w:rsidR="00000000" w:rsidDel="00000000" w:rsidP="00000000" w:rsidRDefault="00000000" w:rsidRPr="00000000" w14:paraId="00000026">
      <w:pPr>
        <w:numPr>
          <w:ilvl w:val="0"/>
          <w:numId w:val="6"/>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Through controlled testing of the prototype using mock clinical scenarios, gather and examine system-level performance data, functional test results, task-completion times, and error rates to assess whether the system not only works correctly but is also usable in practice.</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pStyle w:val="Heading1"/>
        <w:spacing w:after="200" w:line="276" w:lineRule="auto"/>
        <w:rPr/>
      </w:pPr>
      <w:bookmarkStart w:colFirst="0" w:colLast="0" w:name="_g6tlm6enxamd" w:id="3"/>
      <w:bookmarkEnd w:id="3"/>
      <w:r w:rsidDel="00000000" w:rsidR="00000000" w:rsidRPr="00000000">
        <w:rPr>
          <w:rtl w:val="0"/>
        </w:rPr>
        <w:t xml:space="preserve">1.3 Motivation</w:t>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paper is motivated by three key points that show why we need a collaborative digital platform for specialist healthcare.</w:t>
      </w:r>
    </w:p>
    <w:p w:rsidR="00000000" w:rsidDel="00000000" w:rsidP="00000000" w:rsidRDefault="00000000" w:rsidRPr="00000000" w14:paraId="0000002A">
      <w:pPr>
        <w:numPr>
          <w:ilvl w:val="0"/>
          <w:numId w:val="9"/>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has been proved that structured collaboration among medical specialists results in higher diagnostic accuracy, better decision making, and efficient treatment planning; therefore, extending the method to other areas where the medical cases are complicated would be a good research area (Rao et al., 2020; Hopkins et al., 2022).</w:t>
      </w:r>
    </w:p>
    <w:p w:rsidR="00000000" w:rsidDel="00000000" w:rsidP="00000000" w:rsidRDefault="00000000" w:rsidRPr="00000000" w14:paraId="0000002B">
      <w:pPr>
        <w:numPr>
          <w:ilvl w:val="0"/>
          <w:numId w:val="9"/>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tremendous progress made in cloud computing has extended (safe) authentication, encrypted communication, cloud storage, and real-time collaboration, making the implementation of collaborative healthcare systems more accessible.</w:t>
      </w:r>
    </w:p>
    <w:p w:rsidR="00000000" w:rsidDel="00000000" w:rsidP="00000000" w:rsidRDefault="00000000" w:rsidRPr="00000000" w14:paraId="0000002C">
      <w:pPr>
        <w:numPr>
          <w:ilvl w:val="0"/>
          <w:numId w:val="9"/>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situation of medical specialists in Nigeria is such that there are not sufficient specialists and referral systems are very poor which result in limited access to specialist care at the right time. A collaborative platform can enhance access to specialist knowledge by linking primary doctors with networks of specialists, thereby lessening the disparities between under-resourced facilities and urban teaching hospitals (AkbariRad et al., 2023).</w:t>
      </w:r>
    </w:p>
    <w:p w:rsidR="00000000" w:rsidDel="00000000" w:rsidP="00000000" w:rsidRDefault="00000000" w:rsidRPr="00000000" w14:paraId="0000002D">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pStyle w:val="Heading1"/>
        <w:spacing w:after="200" w:line="276" w:lineRule="auto"/>
        <w:rPr/>
      </w:pPr>
      <w:bookmarkStart w:colFirst="0" w:colLast="0" w:name="_uydm0vww951o" w:id="4"/>
      <w:bookmarkEnd w:id="4"/>
      <w:r w:rsidDel="00000000" w:rsidR="00000000" w:rsidRPr="00000000">
        <w:rPr>
          <w:rtl w:val="0"/>
        </w:rPr>
        <w:t xml:space="preserve">1.4 Scope of the Study</w:t>
      </w:r>
    </w:p>
    <w:p w:rsidR="00000000" w:rsidDel="00000000" w:rsidP="00000000" w:rsidRDefault="00000000" w:rsidRPr="00000000" w14:paraId="0000002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research deliberately restricts the scope of its implementation but still manages to keep its conceptual contribution quite wide.</w:t>
      </w:r>
    </w:p>
    <w:p w:rsidR="00000000" w:rsidDel="00000000" w:rsidP="00000000" w:rsidRDefault="00000000" w:rsidRPr="00000000" w14:paraId="00000030">
      <w:pPr>
        <w:numPr>
          <w:ilvl w:val="0"/>
          <w:numId w:val="5"/>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research entails the creation and implementation of a single web-based application by using a contemporary full-stack development framework, and it is hosted on a free-tier cloud hosting platform. It is capable of user authentication by means of passwords and implements secure role-based access control (RBAC). There are no formal arrangements or attempts to reach healthcare regulatory compliance (HIPAA, GDPR). </w:t>
      </w:r>
    </w:p>
    <w:p w:rsidR="00000000" w:rsidDel="00000000" w:rsidP="00000000" w:rsidRDefault="00000000" w:rsidRPr="00000000" w14:paraId="00000031">
      <w:pPr>
        <w:numPr>
          <w:ilvl w:val="0"/>
          <w:numId w:val="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mock-up is built primarily for use in the collaborative appraisal of complex, non-emergency and electrophysiologically challenging medical cases. It is not designed for use in emergency situations or those requiring immediate decision-making.</w:t>
      </w:r>
    </w:p>
    <w:p w:rsidR="00000000" w:rsidDel="00000000" w:rsidP="00000000" w:rsidRDefault="00000000" w:rsidRPr="00000000" w14:paraId="00000032">
      <w:pPr>
        <w:numPr>
          <w:ilvl w:val="0"/>
          <w:numId w:val="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features of the system include support for the development of clinical hypotheses, differential diagnosis assistance, and multidisciplinary collaboration. It excludes patient engagement features, autonomous diagnostic capabilities, and electronic prescriptions. All cases are hypothetical.</w:t>
      </w:r>
    </w:p>
    <w:p w:rsidR="00000000" w:rsidDel="00000000" w:rsidP="00000000" w:rsidRDefault="00000000" w:rsidRPr="00000000" w14:paraId="00000033">
      <w:pPr>
        <w:numPr>
          <w:ilvl w:val="0"/>
          <w:numId w:val="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Evaluation solely consists of developer testing in a structured manner and demonstration through the use of predefined mock clinical scenarios. Practicing clinicians or healthcare organisations do not take part in the evaluation process.</w:t>
      </w:r>
    </w:p>
    <w:p w:rsidR="00000000" w:rsidDel="00000000" w:rsidP="00000000" w:rsidRDefault="00000000" w:rsidRPr="00000000" w14:paraId="00000034">
      <w:pPr>
        <w:numPr>
          <w:ilvl w:val="0"/>
          <w:numId w:val="5"/>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is designed with the premise that information about a user's role and identity at the time of account creation is correct. Checking one's credentials, real-world verification, institutional affiliation, and professional identity outside what the platform technically can enforce is beyond the scope of this prototype.</w:t>
      </w:r>
    </w:p>
    <w:p w:rsidR="00000000" w:rsidDel="00000000" w:rsidP="00000000" w:rsidRDefault="00000000" w:rsidRPr="00000000" w14:paraId="00000035">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pStyle w:val="Heading1"/>
        <w:spacing w:after="240" w:before="240" w:line="276" w:lineRule="auto"/>
        <w:rPr/>
      </w:pPr>
      <w:bookmarkStart w:colFirst="0" w:colLast="0" w:name="_mpqft2wketga" w:id="5"/>
      <w:bookmarkEnd w:id="5"/>
      <w:r w:rsidDel="00000000" w:rsidR="00000000" w:rsidRPr="00000000">
        <w:rPr>
          <w:rtl w:val="0"/>
        </w:rPr>
        <w:t xml:space="preserve">1.5 Significance of the Study</w:t>
      </w:r>
    </w:p>
    <w:p w:rsidR="00000000" w:rsidDel="00000000" w:rsidP="00000000" w:rsidRDefault="00000000" w:rsidRPr="00000000" w14:paraId="0000003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work is important mainly because it proves that a structured digital platform is possible; one that really supports multi-disciplinary teamwork in hands-on patient evaluation. Patients will benefit most from such a study because long, arduous "diagnostic itineraries" are the aspect of complex or rare medical conditions that patients suffer most from. In fact, by uniting specialists regularly in a structured manner, the platform is inspired by the prospect of timely patient access to diverse clinical expertise that could lead to eradication of diagnostic delays (Liddy et al., 2019).</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primary care doctors, it depicts a way of "getting help" from specialists that is both open and officially recorded, learning about each other as protocols are progressed regularly; a continuous professional learning initiative is naturally embedded (Kwok et al., 2018). Specialist communities, on the other hand, have been shown that a single and secure digital infrastructure can support structured collaboration over distances as well as across organisational boundaries, combining highly effective principles from oncology virtual care (Keely et al., 2013; Peeters et al., 2024).</w:t>
      </w:r>
    </w:p>
    <w:p w:rsidR="00000000" w:rsidDel="00000000" w:rsidP="00000000" w:rsidRDefault="00000000" w:rsidRPr="00000000" w14:paraId="0000003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Lastly, the paper studies an entirely new path to clinical decision support by activating and focusing on collaborative human expertise rather than supplementing with autonomous artificial intelligence (Sutton et al., 2020).</w:t>
      </w:r>
    </w:p>
    <w:p w:rsidR="00000000" w:rsidDel="00000000" w:rsidP="00000000" w:rsidRDefault="00000000" w:rsidRPr="00000000" w14:paraId="0000003A">
      <w:pPr>
        <w:pStyle w:val="Heading1"/>
        <w:spacing w:after="200" w:line="276" w:lineRule="auto"/>
        <w:rPr/>
      </w:pPr>
      <w:bookmarkStart w:colFirst="0" w:colLast="0" w:name="_4oxp5nnjgsdp" w:id="6"/>
      <w:bookmarkEnd w:id="6"/>
      <w:r w:rsidDel="00000000" w:rsidR="00000000" w:rsidRPr="00000000">
        <w:rPr>
          <w:rtl w:val="0"/>
        </w:rPr>
        <w:t xml:space="preserve">1.6 Related Works</w:t>
      </w:r>
    </w:p>
    <w:p w:rsidR="00000000" w:rsidDel="00000000" w:rsidP="00000000" w:rsidRDefault="00000000" w:rsidRPr="00000000" w14:paraId="0000003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technologies being a part of clinical practice has changed a lot. This is mainly due to the progress in telemedicine, electronic consultation (e-consultation), and cloud computing. Early telemedicine, like the iPath platform (Brauchli et al., 2005), showed that a specialist can give advice without being in the same place or even available at the same time. This basic idea has now been extended by modern cloud-based e-health platforms (Jin and Chen, 2015), which allow for better scalability, lower running costs, and increased access.</w:t>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E-consultation is a system that has been very successful in enabling asynchronous communication between care providers that helps mainly in decreasing unnecessary patient referrals to the doctor and also specializing shortage issues (Liddy et al., 2016; Vimalananda et al., 2020). Unfortunately, one of the main weaknesses of current platforms is that they are usually designed and optimized for one-on-one communication between a primary care physician and a specialist. They don't include or facilitate the organizational aspects of interaction between different specialists when working on very complex cases (Kamsu-Foguem et al., 2015). CDSSs are powerful diagnostic aids, however, the literature concurs that these tools should support human clinical judgement only, not replace it (Sutton et al., 2020). The most remarkable instance of digital multidisciplinary collaboration is the Virtual Multidisciplinary Tumour Board (VMTB) in the use of oncology. It has been demonstrated that VMTBs boost diagnostic confidence, align treatments, and improve clinical governance among the institutions involved (Blasi et al., 2021; Gebbia et al., 2021). Nevertheless, these platforms are mainly used in cancer care. The present study focuses on the collaborative principles of VMTBs and generalizes them to a secure, versatile framework for all complex clinical cases.</w:t>
      </w:r>
    </w:p>
    <w:p w:rsidR="00000000" w:rsidDel="00000000" w:rsidP="00000000" w:rsidRDefault="00000000" w:rsidRPr="00000000" w14:paraId="0000003D">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pStyle w:val="Heading1"/>
        <w:spacing w:after="200" w:line="276" w:lineRule="auto"/>
        <w:rPr/>
      </w:pPr>
      <w:bookmarkStart w:colFirst="0" w:colLast="0" w:name="_gct6fwto8xyp" w:id="7"/>
      <w:bookmarkEnd w:id="7"/>
      <w:r w:rsidDel="00000000" w:rsidR="00000000" w:rsidRPr="00000000">
        <w:rPr>
          <w:rtl w:val="0"/>
        </w:rPr>
        <w:t xml:space="preserve">1.7 Proposed System Architecture</w:t>
      </w:r>
      <w:r w:rsidDel="00000000" w:rsidR="00000000" w:rsidRPr="00000000">
        <w:rPr/>
        <w:drawing>
          <wp:inline distB="114300" distT="114300" distL="114300" distR="114300">
            <wp:extent cx="5486400" cy="5651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pStyle w:val="Heading1"/>
        <w:spacing w:after="240" w:before="240" w:line="276" w:lineRule="auto"/>
        <w:rPr/>
      </w:pPr>
      <w:bookmarkStart w:colFirst="0" w:colLast="0" w:name="_1bgc4kc75cej" w:id="8"/>
      <w:bookmarkEnd w:id="8"/>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240" w:before="240" w:line="276" w:lineRule="auto"/>
        <w:rPr/>
      </w:pPr>
      <w:bookmarkStart w:colFirst="0" w:colLast="0" w:name="_lppf6syit3mz" w:id="9"/>
      <w:bookmarkEnd w:id="9"/>
      <w:r w:rsidDel="00000000" w:rsidR="00000000" w:rsidRPr="00000000">
        <w:rPr>
          <w:rtl w:val="0"/>
        </w:rPr>
        <w:t xml:space="preserve">1.8 References</w:t>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AkbariRad, M., Keshvardoost, S., Shariatmadari, H., Firoozi, A., &amp; Moodi Ghalibaf, A. (2023). Virtual tumor boards: An approach to equity in cancer care. </w:t>
      </w:r>
      <w:r w:rsidDel="00000000" w:rsidR="00000000" w:rsidRPr="00000000">
        <w:rPr>
          <w:rFonts w:ascii="Times New Roman" w:cs="Times New Roman" w:eastAsia="Times New Roman" w:hAnsi="Times New Roman"/>
          <w:i w:val="1"/>
          <w:iCs w:val="1"/>
          <w:sz w:val="26"/>
          <w:szCs w:val="26"/>
          <w:rtl w:val="0"/>
        </w:rPr>
        <w:t xml:space="preserve">Health Promotion Perspectives</w:t>
      </w:r>
      <w:r w:rsidDel="00000000" w:rsidR="00000000" w:rsidRPr="00000000">
        <w:rPr>
          <w:rFonts w:ascii="Times New Roman" w:cs="Times New Roman" w:eastAsia="Times New Roman" w:hAnsi="Times New Roman"/>
          <w:sz w:val="26"/>
          <w:szCs w:val="26"/>
          <w:rtl w:val="0"/>
        </w:rPr>
        <w:t xml:space="preserve">, 13(4), 166–167.</w:t>
      </w:r>
    </w:p>
    <w:p w:rsidR="00000000" w:rsidDel="00000000" w:rsidP="00000000" w:rsidRDefault="00000000" w:rsidRPr="00000000" w14:paraId="0000004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Blasi, L., Bordonaro, R., Serretta, V., Piazza, D., Firenze, A., &amp; Gebbia, V. (2021). Virtual Clinical and Precision Medicine Tumor Boards, Cloud-Based Platform–Mediated Implementation of Multidisciplinary Reviews Among Oncology Centers in the COVID-19 Era: Protocol for an Observational Study. </w:t>
      </w:r>
      <w:r w:rsidDel="00000000" w:rsidR="00000000" w:rsidRPr="00000000">
        <w:rPr>
          <w:rFonts w:ascii="Times New Roman" w:cs="Times New Roman" w:eastAsia="Times New Roman" w:hAnsi="Times New Roman"/>
          <w:i w:val="1"/>
          <w:iCs w:val="1"/>
          <w:sz w:val="26"/>
          <w:szCs w:val="26"/>
          <w:rtl w:val="0"/>
        </w:rPr>
        <w:t xml:space="preserve">JMIR Research Protocols</w:t>
      </w:r>
      <w:r w:rsidDel="00000000" w:rsidR="00000000" w:rsidRPr="00000000">
        <w:rPr>
          <w:rFonts w:ascii="Times New Roman" w:cs="Times New Roman" w:eastAsia="Times New Roman" w:hAnsi="Times New Roman"/>
          <w:sz w:val="26"/>
          <w:szCs w:val="26"/>
          <w:rtl w:val="0"/>
        </w:rPr>
        <w:t xml:space="preserve">, 10(9), e26220.</w:t>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Brauchli, K., O'Mahony, D., Banach, L. and Oberholzer, M. (2005). iPath: A telemedicine platform to support health providers in low resource settings. </w:t>
      </w:r>
      <w:r w:rsidDel="00000000" w:rsidR="00000000" w:rsidRPr="00000000">
        <w:rPr>
          <w:rFonts w:ascii="Times New Roman" w:cs="Times New Roman" w:eastAsia="Times New Roman" w:hAnsi="Times New Roman"/>
          <w:i w:val="1"/>
          <w:iCs w:val="1"/>
          <w:sz w:val="26"/>
          <w:szCs w:val="26"/>
          <w:rtl w:val="0"/>
        </w:rPr>
        <w:t xml:space="preserve">Medical and Care Compunetics 2</w:t>
      </w:r>
      <w:r w:rsidDel="00000000" w:rsidR="00000000" w:rsidRPr="00000000">
        <w:rPr>
          <w:rFonts w:ascii="Times New Roman" w:cs="Times New Roman" w:eastAsia="Times New Roman" w:hAnsi="Times New Roman"/>
          <w:sz w:val="26"/>
          <w:szCs w:val="26"/>
          <w:rtl w:val="0"/>
        </w:rPr>
        <w:t xml:space="preserve">, 11-17.</w:t>
      </w:r>
    </w:p>
    <w:p w:rsidR="00000000" w:rsidDel="00000000" w:rsidP="00000000" w:rsidRDefault="00000000" w:rsidRPr="00000000" w14:paraId="0000004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Chenthara, S., Ahmed, K., Wang, H., &amp; Whittaker, F. (2019). Security and privacy-preserving challenges of e-health solutions in cloud computing. </w:t>
      </w:r>
      <w:r w:rsidDel="00000000" w:rsidR="00000000" w:rsidRPr="00000000">
        <w:rPr>
          <w:rFonts w:ascii="Times New Roman" w:cs="Times New Roman" w:eastAsia="Times New Roman" w:hAnsi="Times New Roman"/>
          <w:i w:val="1"/>
          <w:iCs w:val="1"/>
          <w:sz w:val="26"/>
          <w:szCs w:val="26"/>
          <w:rtl w:val="0"/>
        </w:rPr>
        <w:t xml:space="preserve">IEEE Access</w:t>
      </w:r>
      <w:r w:rsidDel="00000000" w:rsidR="00000000" w:rsidRPr="00000000">
        <w:rPr>
          <w:rFonts w:ascii="Times New Roman" w:cs="Times New Roman" w:eastAsia="Times New Roman" w:hAnsi="Times New Roman"/>
          <w:sz w:val="26"/>
          <w:szCs w:val="26"/>
          <w:rtl w:val="0"/>
        </w:rPr>
        <w:t xml:space="preserve">, 7, 74361–74382.</w:t>
      </w:r>
    </w:p>
    <w:p w:rsidR="00000000" w:rsidDel="00000000" w:rsidP="00000000" w:rsidRDefault="00000000" w:rsidRPr="00000000" w14:paraId="0000004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Esposito, C., De Santis, A., Tortora, G., Chang, H., &amp; Choo, K.-K. R. (2018). Blockchain: A Panacea for Healthcare Cloud-Based Data Security and Privacy? </w:t>
      </w:r>
      <w:r w:rsidDel="00000000" w:rsidR="00000000" w:rsidRPr="00000000">
        <w:rPr>
          <w:rFonts w:ascii="Times New Roman" w:cs="Times New Roman" w:eastAsia="Times New Roman" w:hAnsi="Times New Roman"/>
          <w:i w:val="1"/>
          <w:iCs w:val="1"/>
          <w:sz w:val="26"/>
          <w:szCs w:val="26"/>
          <w:rtl w:val="0"/>
        </w:rPr>
        <w:t xml:space="preserve">IEEE Cloud Computing</w:t>
      </w:r>
      <w:r w:rsidDel="00000000" w:rsidR="00000000" w:rsidRPr="00000000">
        <w:rPr>
          <w:rFonts w:ascii="Times New Roman" w:cs="Times New Roman" w:eastAsia="Times New Roman" w:hAnsi="Times New Roman"/>
          <w:sz w:val="26"/>
          <w:szCs w:val="26"/>
          <w:rtl w:val="0"/>
        </w:rPr>
        <w:t xml:space="preserve">, 5(5), 31–37.</w:t>
      </w:r>
    </w:p>
    <w:p w:rsidR="00000000" w:rsidDel="00000000" w:rsidP="00000000" w:rsidRDefault="00000000" w:rsidRPr="00000000" w14:paraId="0000004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Gebbia, V., Guarini, A., Piazza, D., Bertani, A., Spada, M., Verderame, F., ... &amp; Rizzo, S. (2021). Virtual multidisciplinary tumor boards: A narrative review focused on lung cancer. </w:t>
      </w:r>
      <w:r w:rsidDel="00000000" w:rsidR="00000000" w:rsidRPr="00000000">
        <w:rPr>
          <w:rFonts w:ascii="Times New Roman" w:cs="Times New Roman" w:eastAsia="Times New Roman" w:hAnsi="Times New Roman"/>
          <w:i w:val="1"/>
          <w:iCs w:val="1"/>
          <w:sz w:val="26"/>
          <w:szCs w:val="26"/>
          <w:rtl w:val="0"/>
        </w:rPr>
        <w:t xml:space="preserve">Pulmonary Therapy</w:t>
      </w:r>
      <w:r w:rsidDel="00000000" w:rsidR="00000000" w:rsidRPr="00000000">
        <w:rPr>
          <w:rFonts w:ascii="Times New Roman" w:cs="Times New Roman" w:eastAsia="Times New Roman" w:hAnsi="Times New Roman"/>
          <w:sz w:val="26"/>
          <w:szCs w:val="26"/>
          <w:rtl w:val="0"/>
        </w:rPr>
        <w:t xml:space="preserve">, 7, 493–506.</w:t>
      </w:r>
    </w:p>
    <w:p w:rsidR="00000000" w:rsidDel="00000000" w:rsidP="00000000" w:rsidRDefault="00000000" w:rsidRPr="00000000" w14:paraId="0000004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Hopkins, S. E., Vidri, R. J., Hill, M. V., Vijayvergia, N., &amp; Farma, J. M. (2022). A virtual tumor board platform: A way to enhance decision-making for complex malignancies. </w:t>
      </w:r>
      <w:r w:rsidDel="00000000" w:rsidR="00000000" w:rsidRPr="00000000">
        <w:rPr>
          <w:rFonts w:ascii="Times New Roman" w:cs="Times New Roman" w:eastAsia="Times New Roman" w:hAnsi="Times New Roman"/>
          <w:i w:val="1"/>
          <w:iCs w:val="1"/>
          <w:sz w:val="26"/>
          <w:szCs w:val="26"/>
          <w:rtl w:val="0"/>
        </w:rPr>
        <w:t xml:space="preserve">Journal of Surgical Oncology</w:t>
      </w:r>
      <w:r w:rsidDel="00000000" w:rsidR="00000000" w:rsidRPr="00000000">
        <w:rPr>
          <w:rFonts w:ascii="Times New Roman" w:cs="Times New Roman" w:eastAsia="Times New Roman" w:hAnsi="Times New Roman"/>
          <w:sz w:val="26"/>
          <w:szCs w:val="26"/>
          <w:rtl w:val="0"/>
        </w:rPr>
        <w:t xml:space="preserve">, 126(5), 892–900.</w:t>
      </w:r>
    </w:p>
    <w:p w:rsidR="00000000" w:rsidDel="00000000" w:rsidP="00000000" w:rsidRDefault="00000000" w:rsidRPr="00000000" w14:paraId="0000004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Hsieh, J.-C., &amp; Hsu, M.-W. (2012). A cloud computing based 12-lead ECG telemedicine service. </w:t>
      </w:r>
      <w:r w:rsidDel="00000000" w:rsidR="00000000" w:rsidRPr="00000000">
        <w:rPr>
          <w:rFonts w:ascii="Times New Roman" w:cs="Times New Roman" w:eastAsia="Times New Roman" w:hAnsi="Times New Roman"/>
          <w:i w:val="1"/>
          <w:iCs w:val="1"/>
          <w:sz w:val="26"/>
          <w:szCs w:val="26"/>
          <w:rtl w:val="0"/>
        </w:rPr>
        <w:t xml:space="preserve">BMC Medical Informatics and Decision Making</w:t>
      </w:r>
      <w:r w:rsidDel="00000000" w:rsidR="00000000" w:rsidRPr="00000000">
        <w:rPr>
          <w:rFonts w:ascii="Times New Roman" w:cs="Times New Roman" w:eastAsia="Times New Roman" w:hAnsi="Times New Roman"/>
          <w:sz w:val="26"/>
          <w:szCs w:val="26"/>
          <w:rtl w:val="0"/>
        </w:rPr>
        <w:t xml:space="preserve">, 12, Article 77.</w:t>
      </w:r>
    </w:p>
    <w:p w:rsidR="00000000" w:rsidDel="00000000" w:rsidP="00000000" w:rsidRDefault="00000000" w:rsidRPr="00000000" w14:paraId="0000004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Jin, Z., &amp; Chen, Y. (2015). Telemedicine in the cloud era: Prospects and challenges. </w:t>
      </w:r>
      <w:r w:rsidDel="00000000" w:rsidR="00000000" w:rsidRPr="00000000">
        <w:rPr>
          <w:rFonts w:ascii="Times New Roman" w:cs="Times New Roman" w:eastAsia="Times New Roman" w:hAnsi="Times New Roman"/>
          <w:i w:val="1"/>
          <w:iCs w:val="1"/>
          <w:sz w:val="26"/>
          <w:szCs w:val="26"/>
          <w:rtl w:val="0"/>
        </w:rPr>
        <w:t xml:space="preserve">IEEE Pervasive Computing</w:t>
      </w:r>
      <w:r w:rsidDel="00000000" w:rsidR="00000000" w:rsidRPr="00000000">
        <w:rPr>
          <w:rFonts w:ascii="Times New Roman" w:cs="Times New Roman" w:eastAsia="Times New Roman" w:hAnsi="Times New Roman"/>
          <w:sz w:val="26"/>
          <w:szCs w:val="26"/>
          <w:rtl w:val="0"/>
        </w:rPr>
        <w:t xml:space="preserve">, 14(1), 54–61.</w:t>
      </w:r>
    </w:p>
    <w:p w:rsidR="00000000" w:rsidDel="00000000" w:rsidP="00000000" w:rsidRDefault="00000000" w:rsidRPr="00000000" w14:paraId="0000004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Kamsu-Foguem, B., Tiako, P. F., Fotso, L. P., &amp; Foguem, C. (2015). Modeling for effective collaboration in telemedicine. </w:t>
      </w:r>
      <w:r w:rsidDel="00000000" w:rsidR="00000000" w:rsidRPr="00000000">
        <w:rPr>
          <w:rFonts w:ascii="Times New Roman" w:cs="Times New Roman" w:eastAsia="Times New Roman" w:hAnsi="Times New Roman"/>
          <w:i w:val="1"/>
          <w:iCs w:val="1"/>
          <w:sz w:val="26"/>
          <w:szCs w:val="26"/>
          <w:rtl w:val="0"/>
        </w:rPr>
        <w:t xml:space="preserve">Telematics and Informatics</w:t>
      </w:r>
      <w:r w:rsidDel="00000000" w:rsidR="00000000" w:rsidRPr="00000000">
        <w:rPr>
          <w:rFonts w:ascii="Times New Roman" w:cs="Times New Roman" w:eastAsia="Times New Roman" w:hAnsi="Times New Roman"/>
          <w:sz w:val="26"/>
          <w:szCs w:val="26"/>
          <w:rtl w:val="0"/>
        </w:rPr>
        <w:t xml:space="preserve">, 32(4), 776–786.</w:t>
      </w:r>
    </w:p>
    <w:p w:rsidR="00000000" w:rsidDel="00000000" w:rsidP="00000000" w:rsidRDefault="00000000" w:rsidRPr="00000000" w14:paraId="0000004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Keely, E., Liddy, C., &amp; Afkham, A. (2013). Utilization, Benefits, and Impact of an e-Consultation Service Across Diverse Specialties and Primary Care Providers. </w:t>
      </w:r>
      <w:r w:rsidDel="00000000" w:rsidR="00000000" w:rsidRPr="00000000">
        <w:rPr>
          <w:rFonts w:ascii="Times New Roman" w:cs="Times New Roman" w:eastAsia="Times New Roman" w:hAnsi="Times New Roman"/>
          <w:i w:val="1"/>
          <w:iCs w:val="1"/>
          <w:sz w:val="26"/>
          <w:szCs w:val="26"/>
          <w:rtl w:val="0"/>
        </w:rPr>
        <w:t xml:space="preserve">Telemedicine and e-Health</w:t>
      </w:r>
      <w:r w:rsidDel="00000000" w:rsidR="00000000" w:rsidRPr="00000000">
        <w:rPr>
          <w:rFonts w:ascii="Times New Roman" w:cs="Times New Roman" w:eastAsia="Times New Roman" w:hAnsi="Times New Roman"/>
          <w:sz w:val="26"/>
          <w:szCs w:val="26"/>
          <w:rtl w:val="0"/>
        </w:rPr>
        <w:t xml:space="preserve">, 19(10), 733–738.</w:t>
      </w:r>
    </w:p>
    <w:p w:rsidR="00000000" w:rsidDel="00000000" w:rsidP="00000000" w:rsidRDefault="00000000" w:rsidRPr="00000000" w14:paraId="0000004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Kwok, J., Olayiwola, J. N., Knox, M., Murphy, E. J., &amp; Tuot, D. S. (2018). Electronic consultation system demonstrates educational benefit for primary care providers. </w:t>
      </w:r>
      <w:r w:rsidDel="00000000" w:rsidR="00000000" w:rsidRPr="00000000">
        <w:rPr>
          <w:rFonts w:ascii="Times New Roman" w:cs="Times New Roman" w:eastAsia="Times New Roman" w:hAnsi="Times New Roman"/>
          <w:i w:val="1"/>
          <w:iCs w:val="1"/>
          <w:sz w:val="26"/>
          <w:szCs w:val="26"/>
          <w:rtl w:val="0"/>
        </w:rPr>
        <w:t xml:space="preserve">Journal of Telemedicine and Telecare</w:t>
      </w:r>
      <w:r w:rsidDel="00000000" w:rsidR="00000000" w:rsidRPr="00000000">
        <w:rPr>
          <w:rFonts w:ascii="Times New Roman" w:cs="Times New Roman" w:eastAsia="Times New Roman" w:hAnsi="Times New Roman"/>
          <w:sz w:val="26"/>
          <w:szCs w:val="26"/>
          <w:rtl w:val="0"/>
        </w:rPr>
        <w:t xml:space="preserve">, 24(5), 465–472.</w:t>
      </w:r>
    </w:p>
    <w:p w:rsidR="00000000" w:rsidDel="00000000" w:rsidP="00000000" w:rsidRDefault="00000000" w:rsidRPr="00000000" w14:paraId="0000004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Liddy, C., Drosinis, P., &amp; Keely, E. (2016). Electronic consultation systems: worldwide prevalence and their impact on patient care, a systematic review. </w:t>
      </w:r>
      <w:r w:rsidDel="00000000" w:rsidR="00000000" w:rsidRPr="00000000">
        <w:rPr>
          <w:rFonts w:ascii="Times New Roman" w:cs="Times New Roman" w:eastAsia="Times New Roman" w:hAnsi="Times New Roman"/>
          <w:i w:val="1"/>
          <w:iCs w:val="1"/>
          <w:sz w:val="26"/>
          <w:szCs w:val="26"/>
          <w:rtl w:val="0"/>
        </w:rPr>
        <w:t xml:space="preserve">Family Practice</w:t>
      </w:r>
      <w:r w:rsidDel="00000000" w:rsidR="00000000" w:rsidRPr="00000000">
        <w:rPr>
          <w:rFonts w:ascii="Times New Roman" w:cs="Times New Roman" w:eastAsia="Times New Roman" w:hAnsi="Times New Roman"/>
          <w:sz w:val="26"/>
          <w:szCs w:val="26"/>
          <w:rtl w:val="0"/>
        </w:rPr>
        <w:t xml:space="preserve">, 33(3), 274–285.</w:t>
      </w:r>
    </w:p>
    <w:p w:rsidR="00000000" w:rsidDel="00000000" w:rsidP="00000000" w:rsidRDefault="00000000" w:rsidRPr="00000000" w14:paraId="0000004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Liddy, C., Moroz, I., Mihan, A., Nawar, N., &amp; Keely, E. (2019). A Systematic Review of Asynchronous, Provider-to-Provider, Electronic Consultation Services to Improve Access to Specialty Care Available Worldwide. </w:t>
      </w:r>
      <w:r w:rsidDel="00000000" w:rsidR="00000000" w:rsidRPr="00000000">
        <w:rPr>
          <w:rFonts w:ascii="Times New Roman" w:cs="Times New Roman" w:eastAsia="Times New Roman" w:hAnsi="Times New Roman"/>
          <w:i w:val="1"/>
          <w:iCs w:val="1"/>
          <w:sz w:val="26"/>
          <w:szCs w:val="26"/>
          <w:rtl w:val="0"/>
        </w:rPr>
        <w:t xml:space="preserve">Telemedicine and e-Health</w:t>
      </w:r>
      <w:r w:rsidDel="00000000" w:rsidR="00000000" w:rsidRPr="00000000">
        <w:rPr>
          <w:rFonts w:ascii="Times New Roman" w:cs="Times New Roman" w:eastAsia="Times New Roman" w:hAnsi="Times New Roman"/>
          <w:sz w:val="26"/>
          <w:szCs w:val="26"/>
          <w:rtl w:val="0"/>
        </w:rPr>
        <w:t xml:space="preserve">, 25(11), 184–198.</w:t>
      </w:r>
    </w:p>
    <w:p w:rsidR="00000000" w:rsidDel="00000000" w:rsidP="00000000" w:rsidRDefault="00000000" w:rsidRPr="00000000" w14:paraId="0000005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Liddy, C., Rowan, M. S., Afkham, A., Maranger, J., &amp; Keely, E. (2013). Building access to specialist care through e-consultation. </w:t>
      </w:r>
      <w:r w:rsidDel="00000000" w:rsidR="00000000" w:rsidRPr="00000000">
        <w:rPr>
          <w:rFonts w:ascii="Times New Roman" w:cs="Times New Roman" w:eastAsia="Times New Roman" w:hAnsi="Times New Roman"/>
          <w:i w:val="1"/>
          <w:iCs w:val="1"/>
          <w:sz w:val="26"/>
          <w:szCs w:val="26"/>
          <w:rtl w:val="0"/>
        </w:rPr>
        <w:t xml:space="preserve">Open Medicine</w:t>
      </w:r>
      <w:r w:rsidDel="00000000" w:rsidR="00000000" w:rsidRPr="00000000">
        <w:rPr>
          <w:rFonts w:ascii="Times New Roman" w:cs="Times New Roman" w:eastAsia="Times New Roman" w:hAnsi="Times New Roman"/>
          <w:sz w:val="26"/>
          <w:szCs w:val="26"/>
          <w:rtl w:val="0"/>
        </w:rPr>
        <w:t xml:space="preserve">, 7(1), e1–e8.</w:t>
      </w:r>
    </w:p>
    <w:p w:rsidR="00000000" w:rsidDel="00000000" w:rsidP="00000000" w:rsidRDefault="00000000" w:rsidRPr="00000000" w14:paraId="0000005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Miah, S. J., Hasan, J., &amp; Gammack, J. G. (2017). On-cloud healthcare clinic: An e-health consultancy approach for remote communities in a developing country. </w:t>
      </w:r>
      <w:r w:rsidDel="00000000" w:rsidR="00000000" w:rsidRPr="00000000">
        <w:rPr>
          <w:rFonts w:ascii="Times New Roman" w:cs="Times New Roman" w:eastAsia="Times New Roman" w:hAnsi="Times New Roman"/>
          <w:i w:val="1"/>
          <w:iCs w:val="1"/>
          <w:sz w:val="26"/>
          <w:szCs w:val="26"/>
          <w:rtl w:val="0"/>
        </w:rPr>
        <w:t xml:space="preserve">Telematics and Informatics</w:t>
      </w:r>
      <w:r w:rsidDel="00000000" w:rsidR="00000000" w:rsidRPr="00000000">
        <w:rPr>
          <w:rFonts w:ascii="Times New Roman" w:cs="Times New Roman" w:eastAsia="Times New Roman" w:hAnsi="Times New Roman"/>
          <w:sz w:val="26"/>
          <w:szCs w:val="26"/>
          <w:rtl w:val="0"/>
        </w:rPr>
        <w:t xml:space="preserve">, 34(1), 311–322.</w:t>
      </w:r>
    </w:p>
    <w:p w:rsidR="00000000" w:rsidDel="00000000" w:rsidP="00000000" w:rsidRDefault="00000000" w:rsidRPr="00000000" w14:paraId="0000005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Peeters, K. M. M., Reichel, L. A. M., Muris, D. M. J., Spigt, M., &amp; de Kruif, M. D. (2024). Family physician-to-hospital specialist electronic consultation and access to hospital care: A systematic review. </w:t>
      </w:r>
      <w:r w:rsidDel="00000000" w:rsidR="00000000" w:rsidRPr="00000000">
        <w:rPr>
          <w:rFonts w:ascii="Times New Roman" w:cs="Times New Roman" w:eastAsia="Times New Roman" w:hAnsi="Times New Roman"/>
          <w:i w:val="1"/>
          <w:iCs w:val="1"/>
          <w:sz w:val="26"/>
          <w:szCs w:val="26"/>
          <w:rtl w:val="0"/>
        </w:rPr>
        <w:t xml:space="preserve">JAMA Network Open</w:t>
      </w:r>
      <w:r w:rsidDel="00000000" w:rsidR="00000000" w:rsidRPr="00000000">
        <w:rPr>
          <w:rFonts w:ascii="Times New Roman" w:cs="Times New Roman" w:eastAsia="Times New Roman" w:hAnsi="Times New Roman"/>
          <w:sz w:val="26"/>
          <w:szCs w:val="26"/>
          <w:rtl w:val="0"/>
        </w:rPr>
        <w:t xml:space="preserve">, 7(3), e241391.</w:t>
      </w:r>
    </w:p>
    <w:p w:rsidR="00000000" w:rsidDel="00000000" w:rsidP="00000000" w:rsidRDefault="00000000" w:rsidRPr="00000000" w14:paraId="0000005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Rao, S., Pitel, B., Wagner, A. H., Boca, S. M., McCoy, M., King, I., Gupta, S., Park, B. H., Warner, J. L., Chen, J., Rogan, P. K., Chakravarty, D., Griffith, M., Griffith, O. L., &amp; Madhavan, S. (2020). Collaborative, Multidisciplinary Evaluation of Cancer Variants Through Virtual Molecular Tumor Boards Informs Local Clinical Practices. </w:t>
      </w:r>
      <w:r w:rsidDel="00000000" w:rsidR="00000000" w:rsidRPr="00000000">
        <w:rPr>
          <w:rFonts w:ascii="Times New Roman" w:cs="Times New Roman" w:eastAsia="Times New Roman" w:hAnsi="Times New Roman"/>
          <w:i w:val="1"/>
          <w:iCs w:val="1"/>
          <w:sz w:val="26"/>
          <w:szCs w:val="26"/>
          <w:rtl w:val="0"/>
        </w:rPr>
        <w:t xml:space="preserve">JCO Clinical Cancer Informatics</w:t>
      </w:r>
      <w:r w:rsidDel="00000000" w:rsidR="00000000" w:rsidRPr="00000000">
        <w:rPr>
          <w:rFonts w:ascii="Times New Roman" w:cs="Times New Roman" w:eastAsia="Times New Roman" w:hAnsi="Times New Roman"/>
          <w:sz w:val="26"/>
          <w:szCs w:val="26"/>
          <w:rtl w:val="0"/>
        </w:rPr>
        <w:t xml:space="preserve">, 4, 602–613.</w:t>
      </w:r>
    </w:p>
    <w:p w:rsidR="00000000" w:rsidDel="00000000" w:rsidP="00000000" w:rsidRDefault="00000000" w:rsidRPr="00000000" w14:paraId="0000005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Sutton, R. T., Pincock, D., Baumgart, D. C., Sadowski, D. C., Fedorak, R. N., &amp; Kroeker, K. I. (2020). An overview of clinical decision support systems: Benefits, risks, and strategies for success. </w:t>
      </w:r>
      <w:r w:rsidDel="00000000" w:rsidR="00000000" w:rsidRPr="00000000">
        <w:rPr>
          <w:rFonts w:ascii="Times New Roman" w:cs="Times New Roman" w:eastAsia="Times New Roman" w:hAnsi="Times New Roman"/>
          <w:i w:val="1"/>
          <w:iCs w:val="1"/>
          <w:sz w:val="26"/>
          <w:szCs w:val="26"/>
          <w:rtl w:val="0"/>
        </w:rPr>
        <w:t xml:space="preserve">NPJ Digital Medicine</w:t>
      </w:r>
      <w:r w:rsidDel="00000000" w:rsidR="00000000" w:rsidRPr="00000000">
        <w:rPr>
          <w:rFonts w:ascii="Times New Roman" w:cs="Times New Roman" w:eastAsia="Times New Roman" w:hAnsi="Times New Roman"/>
          <w:sz w:val="26"/>
          <w:szCs w:val="26"/>
          <w:rtl w:val="0"/>
        </w:rPr>
        <w:t xml:space="preserve">, 3, Article 17.</w:t>
      </w:r>
    </w:p>
    <w:p w:rsidR="00000000" w:rsidDel="00000000" w:rsidP="00000000" w:rsidRDefault="00000000" w:rsidRPr="00000000" w14:paraId="0000005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Vimalananda, V. G., Gupte, G., Seraj, S. M., Orlander, J., Berlowitz, D., Fincke, B. G., &amp; Simon, S. R. (2015). Electronic consultations (e-consults) to improve access to specialty care: A systematic review and narrative synthesis. </w:t>
      </w:r>
      <w:r w:rsidDel="00000000" w:rsidR="00000000" w:rsidRPr="00000000">
        <w:rPr>
          <w:rFonts w:ascii="Times New Roman" w:cs="Times New Roman" w:eastAsia="Times New Roman" w:hAnsi="Times New Roman"/>
          <w:i w:val="1"/>
          <w:iCs w:val="1"/>
          <w:sz w:val="26"/>
          <w:szCs w:val="26"/>
          <w:rtl w:val="0"/>
        </w:rPr>
        <w:t xml:space="preserve">Journal of Telemedicine and Telecare</w:t>
      </w:r>
      <w:r w:rsidDel="00000000" w:rsidR="00000000" w:rsidRPr="00000000">
        <w:rPr>
          <w:rFonts w:ascii="Times New Roman" w:cs="Times New Roman" w:eastAsia="Times New Roman" w:hAnsi="Times New Roman"/>
          <w:sz w:val="26"/>
          <w:szCs w:val="26"/>
          <w:rtl w:val="0"/>
        </w:rPr>
        <w:t xml:space="preserve">, 21(6), 323–330.</w:t>
      </w:r>
    </w:p>
    <w:p w:rsidR="00000000" w:rsidDel="00000000" w:rsidP="00000000" w:rsidRDefault="00000000" w:rsidRPr="00000000" w14:paraId="0000005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Vimalananda, V. G., Orlander, J. D., Afable, M. K., Fincke, B. G., Solch, A. K., Rinne, S. T., Kim, E. J., Cutrona, S. L., Thomas, D. D., Strymish, J. L., &amp; Simon, S. R. (2020). Electronic consultations (E-consults) and their outcomes: a systematic review. </w:t>
      </w:r>
      <w:r w:rsidDel="00000000" w:rsidR="00000000" w:rsidRPr="00000000">
        <w:rPr>
          <w:rFonts w:ascii="Times New Roman" w:cs="Times New Roman" w:eastAsia="Times New Roman" w:hAnsi="Times New Roman"/>
          <w:i w:val="1"/>
          <w:iCs w:val="1"/>
          <w:sz w:val="26"/>
          <w:szCs w:val="26"/>
          <w:rtl w:val="0"/>
        </w:rPr>
        <w:t xml:space="preserve">Journal of the American Medical Informatics Association</w:t>
      </w:r>
      <w:r w:rsidDel="00000000" w:rsidR="00000000" w:rsidRPr="00000000">
        <w:rPr>
          <w:rFonts w:ascii="Times New Roman" w:cs="Times New Roman" w:eastAsia="Times New Roman" w:hAnsi="Times New Roman"/>
          <w:sz w:val="26"/>
          <w:szCs w:val="26"/>
          <w:rtl w:val="0"/>
        </w:rPr>
        <w:t xml:space="preserve">, 27(3), 471–479.</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keepNext w:val="0"/>
        <w:keepLines w:val="0"/>
        <w:spacing w:before="2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TWO</w:t>
      </w:r>
    </w:p>
    <w:p w:rsidR="00000000" w:rsidDel="00000000" w:rsidP="00000000" w:rsidRDefault="00000000" w:rsidRPr="00000000" w14:paraId="00000059">
      <w:pPr>
        <w:pStyle w:val="Title"/>
        <w:keepNext w:val="0"/>
        <w:keepLines w:val="0"/>
        <w:spacing w:before="280" w:lineRule="auto"/>
        <w:jc w:val="center"/>
        <w:rPr>
          <w:rFonts w:ascii="Times New Roman" w:cs="Times New Roman" w:eastAsia="Times New Roman" w:hAnsi="Times New Roman"/>
          <w:b w:val="1"/>
          <w:bCs w:val="1"/>
        </w:rPr>
      </w:pPr>
      <w:bookmarkStart w:colFirst="0" w:colLast="0" w:name="_h44jrl3i9bfz" w:id="10"/>
      <w:bookmarkEnd w:id="10"/>
      <w:r w:rsidDel="00000000" w:rsidR="00000000" w:rsidRPr="00000000">
        <w:rPr>
          <w:rFonts w:ascii="Times New Roman" w:cs="Times New Roman" w:eastAsia="Times New Roman" w:hAnsi="Times New Roman"/>
          <w:b w:val="1"/>
          <w:bCs w:val="1"/>
          <w:rtl w:val="0"/>
        </w:rPr>
        <w:t xml:space="preserve"> LITERATURE REVIEW</w:t>
      </w:r>
    </w:p>
    <w:p w:rsidR="00000000" w:rsidDel="00000000" w:rsidP="00000000" w:rsidRDefault="00000000" w:rsidRPr="00000000" w14:paraId="0000005A">
      <w:pPr>
        <w:pStyle w:val="Heading1"/>
        <w:keepNext w:val="0"/>
        <w:keepLines w:val="0"/>
        <w:spacing w:before="280" w:lineRule="auto"/>
        <w:rPr/>
      </w:pPr>
      <w:bookmarkStart w:colFirst="0" w:colLast="0" w:name="_81f8glk4lqs5" w:id="11"/>
      <w:bookmarkEnd w:id="11"/>
      <w:r w:rsidDel="00000000" w:rsidR="00000000" w:rsidRPr="00000000">
        <w:rPr>
          <w:rtl w:val="0"/>
        </w:rPr>
        <w:t xml:space="preserve">2.1 Introduction</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structured into a review of existing knowledge that underpins the design of a secure cloud-based platform to support global multi-specialist collaboration in complex clinical cases. This is categorised in three areas: first the management of multi-disciplinary clinical reasoning today, second the efforts of existing electronic consultation systems to support this process digitally and third the rationale from secure cloud-based infrastructure to support a role-based multi-specialist model. Sections 2.2, 2.3 consider the development of telemedicine and a review of current representation mechanisms. Section 2.4 assesses the shortcomings of static systems compared to a proposed system, and Section 2.5 considers the likely clinical and structural benefits. Section 2.6 discusses in detail prior related research and Section 2.7 establishes the precise research gap; a section summarizing all the references contained within Sections 2.1-2.7 is then given accurately in Section 2.8.</w:t>
        <w:br w:type="textWrapping"/>
        <w:t xml:space="preserve">Literature reviewed covers, tele-medicine platforms, electronic consultation systems, cloud computing security, decision support systems, multi-disciplinary collaboration models. Focus is on relevant research from low- and middle-income countries (LMICs) as this is where the problems presented by specialist shortages and inadequate referral systems are the most critical (Miah et al., 2017; Daniels, 2024).</w:t>
      </w:r>
    </w:p>
    <w:p w:rsidR="00000000" w:rsidDel="00000000" w:rsidP="00000000" w:rsidRDefault="00000000" w:rsidRPr="00000000" w14:paraId="0000005C">
      <w:pPr>
        <w:pStyle w:val="Heading1"/>
        <w:spacing w:after="240" w:before="240" w:lineRule="auto"/>
        <w:rPr/>
      </w:pPr>
      <w:bookmarkStart w:colFirst="0" w:colLast="0" w:name="_f9ntms7tlh0p" w:id="12"/>
      <w:bookmarkEnd w:id="12"/>
      <w:r w:rsidDel="00000000" w:rsidR="00000000" w:rsidRPr="00000000">
        <w:rPr>
          <w:rtl w:val="0"/>
        </w:rPr>
        <w:t xml:space="preserve">2.2 Evolution of Telemedicine and Digital Health Collaboration</w:t>
      </w:r>
    </w:p>
    <w:p w:rsidR="00000000" w:rsidDel="00000000" w:rsidP="00000000" w:rsidRDefault="00000000" w:rsidRPr="00000000" w14:paraId="0000005D">
      <w:pPr>
        <w:pStyle w:val="Heading2"/>
        <w:spacing w:after="240" w:before="240" w:lineRule="auto"/>
        <w:rPr/>
      </w:pPr>
      <w:bookmarkStart w:colFirst="0" w:colLast="0" w:name="_iwa8ac9ezblc" w:id="13"/>
      <w:bookmarkEnd w:id="13"/>
      <w:r w:rsidDel="00000000" w:rsidR="00000000" w:rsidRPr="00000000">
        <w:rPr>
          <w:rtl w:val="0"/>
        </w:rPr>
        <w:t xml:space="preserve">2.2.1 Early Telemedicine Platforms</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order to</w:t>
      </w:r>
      <w:r w:rsidDel="00000000" w:rsidR="00000000" w:rsidRPr="00000000">
        <w:rPr>
          <w:rFonts w:ascii="Times New Roman" w:cs="Times New Roman" w:eastAsia="Times New Roman" w:hAnsi="Times New Roman"/>
          <w:sz w:val="24"/>
          <w:szCs w:val="24"/>
          <w:rtl w:val="0"/>
        </w:rPr>
        <w:t xml:space="preserve"> transmit across the geographical divide, early telemedicine platforms had to ensure the specialist’s understanding remained accessible. IPath as an example (Brauchli et al., 2005), showed early, store-and-forward asynchronous telepathology. Whereby the pathologist(s) could be based in any setting lacking an adequate range of experts in the required field. An expert based elsewhere could process the transmitted images then provide commentary.</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providing this at the time; basic transfer of specialist information, they set the groundwork for using digital technologies in clinical decision support across hospitals and national borders. It took the commoditisation of high band width connectivity, the widespread application frameworks for secure real-time collaboration and a sufficient level of secure communication standard (Hsieh and Hsu 2012, Jin and Chen 2015) for these initial Telemedicine systems to become broadly integrated platforms available via standard Web applications, to now be a commonly found part of modern collaborative platforms. </w:t>
      </w:r>
    </w:p>
    <w:p w:rsidR="00000000" w:rsidDel="00000000" w:rsidP="00000000" w:rsidRDefault="00000000" w:rsidRPr="00000000" w14:paraId="00000060">
      <w:pPr>
        <w:pStyle w:val="Heading2"/>
        <w:spacing w:after="240" w:before="240" w:lineRule="auto"/>
        <w:rPr/>
      </w:pPr>
      <w:bookmarkStart w:colFirst="0" w:colLast="0" w:name="_2yrj0p5t15m3" w:id="14"/>
      <w:bookmarkEnd w:id="14"/>
      <w:r w:rsidDel="00000000" w:rsidR="00000000" w:rsidRPr="00000000">
        <w:rPr>
          <w:rtl w:val="0"/>
        </w:rPr>
        <w:t xml:space="preserve">2.2.2 The Shift to Cloud-Based Healthcare Infrastructure. </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unsurprising then that by a broad sweep most Healthcare IT systems are going to transition to cloud based solutions with the healthcare cloud market previously predicted to reach USD64.7bn by 2025 (Samant 2024).</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Healthcare Information and Management Systems Society (HIMSS) survey identified that ‘83% of healthcare organisations were using cloud, primarily due to uptake in Electronic Medical Record (EMR) and also with cloud providing solutions that are cost-effective,interoperable and secure’.</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Migrating from an in-house, on-premises setup to the cloud has numerous benefits for collaborative health solutions: elastic scalability to provide enough ‘rooms’ and services regardless of the number of consultations to conduct, geographical distribution of servers to keep latency as minimal as possible for global participants, and decreased capex requirements for under- resourced providers. Security implications of Cloud There is a major move by all sectors towards Cloud. This is however creating growing cloud security compliance challenges for healthcare organisations using increasingly digital tools.</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data breaches are becoming increasingly costly with their total increased by 53.3 per cent in two years in comparison to any other sector (IBM Security 2024). While about 61 per cent of sensitive data across other industries now reside in the cloud, about 47% of organisations in the Healthcare sector still retain that data locally, according to a study from the Cloud Security Alliance (Cloud Security Alliance, 2024). A surprising 82% of reported breaches in 2023 were for data hosted in the cloud (Metomic, 2024).</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areas where there is risk for HIPAA violations include overprivileged users viewing patient information beyond their access needs, failure to encrypt health information adequately, inadequate audit trails, failure to backup systems successfully.</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highlights how critical it is to build Security and HIPAA compliance into a collaborative platform from first principles.</w:t>
      </w:r>
    </w:p>
    <w:p w:rsidR="00000000" w:rsidDel="00000000" w:rsidP="00000000" w:rsidRDefault="00000000" w:rsidRPr="00000000" w14:paraId="00000067">
      <w:pPr>
        <w:pStyle w:val="Heading2"/>
        <w:spacing w:after="240" w:before="240" w:lineRule="auto"/>
        <w:rPr/>
      </w:pPr>
      <w:bookmarkStart w:colFirst="0" w:colLast="0" w:name="_eoq9sja7hci9" w:id="15"/>
      <w:bookmarkEnd w:id="15"/>
      <w:r w:rsidDel="00000000" w:rsidR="00000000" w:rsidRPr="00000000">
        <w:rPr>
          <w:rtl w:val="0"/>
        </w:rPr>
        <w:t xml:space="preserve">2.2.3 Telemedicine In Low- And Middle-income Countries</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greatest potential from digital health collaboration occurs within LMICs where a deficit of expertise and a failing referral system inhibit access to quality healthcare. According to a systematic scoping review of telemedicine within LMICs during the COVID-19 pandemic, the most frequent telemedicine adoption facilitator was the provision of Infrastructure(n= 35·2 of the studies). Other key facilitators found include; Use of mobile phones (n = 27·8), Enabling legislation(n= 20·3), Positive attitude toward telemedicine from healthcare provider (n=11·1)(Kruse et al., 2020). This suggests that although the infrastructure remains largely a concern, the access provided through mobile technology allows for digital health solutions to be viable even in limited environments.</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substantial obstacles continue to exist. In this study, in relation to the use of the services, significant hurdles include: Nonavailability of infrastructure or equipment(n = 20·4of the studies),Slow/weak Internetconnection(n = 14·8);User Privacy issues(n=14.8);Lack of well trained providers(n = 14·8)(Kruse et al., 2020). As such,Nigeria in particular, the use and effect of telemedicine through use amid the COVID-19 pandemic, led to increased access and provided greater specialist access, and also highlights challenges of infrastructure deficits and knowledge gaps among patients for the use of technology(Ezeani et al., 2022).</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argued that is typical of any low to middle income setting as seen with the case of Ghana where, "the government of Ghana has faced protracted shortage of specialist healthcare and funding challenges resulting in very low doctor and nurse/to patients ratios in rural regions of the country."</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Daniels (2024), "A deficit in the delivery of efficient and comprehensive cancer services in remote or low -resources areas of the world can be reduced with the aid of telemedicine technology as there can be cost savings associated with the delivery of patient care" Thus, these elements must be considered in the requirements for the system platform, since the platforms will inevitably need operate effectively despite unreliable network connectivity and lack of strong in-country technical assistance.</w:t>
      </w:r>
    </w:p>
    <w:p w:rsidR="00000000" w:rsidDel="00000000" w:rsidP="00000000" w:rsidRDefault="00000000" w:rsidRPr="00000000" w14:paraId="0000006C">
      <w:pPr>
        <w:pStyle w:val="Heading1"/>
        <w:spacing w:after="240" w:before="240" w:lineRule="auto"/>
        <w:rPr/>
      </w:pPr>
      <w:bookmarkStart w:colFirst="0" w:colLast="0" w:name="_69cez41yayuz" w:id="16"/>
      <w:bookmarkEnd w:id="16"/>
      <w:r w:rsidDel="00000000" w:rsidR="00000000" w:rsidRPr="00000000">
        <w:rPr>
          <w:b w:val="1"/>
          <w:bCs w:val="1"/>
          <w:rtl w:val="0"/>
        </w:rPr>
        <w:t xml:space="preserve">2.3 Electronic consultation systems and their disadvantages</w:t>
      </w:r>
      <w:r w:rsidDel="00000000" w:rsidR="00000000" w:rsidRPr="00000000">
        <w:rPr>
          <w:rtl w:val="0"/>
        </w:rPr>
        <w:t xml:space="preserve"> </w:t>
      </w:r>
    </w:p>
    <w:p w:rsidR="00000000" w:rsidDel="00000000" w:rsidP="00000000" w:rsidRDefault="00000000" w:rsidRPr="00000000" w14:paraId="0000006D">
      <w:pPr>
        <w:pStyle w:val="Heading2"/>
        <w:spacing w:after="240" w:before="240" w:lineRule="auto"/>
        <w:rPr/>
      </w:pPr>
      <w:bookmarkStart w:colFirst="0" w:colLast="0" w:name="_uxutdmo63v41" w:id="17"/>
      <w:bookmarkEnd w:id="17"/>
      <w:r w:rsidDel="00000000" w:rsidR="00000000" w:rsidRPr="00000000">
        <w:rPr>
          <w:rtl w:val="0"/>
        </w:rPr>
        <w:t xml:space="preserve">2.3.1 The e-consultation Model </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collaboration is dominated by electronic consultation (e-consult) systems where primary care physicians (PCPs) communicate structured clinical problems to specialists, where in return asynchronous expert advice is delivered which leads to decreases in face-to-face referrals and increases access to specialist consultation (Liddy et al., 2016; Vimalananda et al., 2015). From systematic reviews we now know that e-consult systems lead to a reduction in wait times, fewer unnecessary referrals and an increase in PCP knowledge, as they are provided with constructive specialist feedback (Kwok et al., 2018; Liddy et al., 2019). Many e-consult models are in place and the practice has been expanded and developed, including into inpatient care with increased utilization of these tools during COVID-19.</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quality improvement study from JMIR in 2024 indicated how inpatient e-consults helped in rapid delivery of inpatient consult services while diminishing in-person exposure and transmission. It remains sustainable and valued, being integral to routine operations well into post-pandemic operations (JMIR, 2024).</w:t>
      </w:r>
      <w:r w:rsidDel="00000000" w:rsidR="00000000" w:rsidRPr="00000000">
        <w:rPr>
          <w:rtl w:val="0"/>
        </w:rPr>
      </w:r>
    </w:p>
    <w:p w:rsidR="00000000" w:rsidDel="00000000" w:rsidP="00000000" w:rsidRDefault="00000000" w:rsidRPr="00000000" w14:paraId="00000070">
      <w:pPr>
        <w:pStyle w:val="Heading2"/>
        <w:spacing w:after="240" w:before="240" w:lineRule="auto"/>
        <w:rPr/>
      </w:pPr>
      <w:bookmarkStart w:colFirst="0" w:colLast="0" w:name="_pnpd5qftyyw" w:id="18"/>
      <w:bookmarkEnd w:id="18"/>
      <w:r w:rsidDel="00000000" w:rsidR="00000000" w:rsidRPr="00000000">
        <w:rPr>
          <w:rtl w:val="0"/>
        </w:rPr>
        <w:t xml:space="preserve">2.3.2 Structural limitations in current e-consultation systems</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current e-consultation systems provide apparent advantages, they are structured with some limitations for handling complex cases. First, most systems target the dyadic structure of interaction between a single primary care physician (PCP) and a single specialist. In these systems, direct interaction is maintained between two people, which is only efficient when complex, multiple system involvement requires discussion with more than one specialist (Kamsu-Foguem et al., 2015).</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existing e-consultation platforms usually miss mechanisms to guide or structure processes for generation of hypotheses and ranking hypotheses to aid in differential diagnosis selection.</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systems provide information transfer, they do not offer any organized methods of prioritizing the competing diagnostic hypothesis or consolidating varying advice of different specialists to develop a coherent view for complex cases. Third, current governance models are not clear in defining their roles and duties from the decisional autonomy of the requesting PCP which might increase medicosocial liabilities and may lead to PCPs avoiding seeking digital consultancy in dealing with complex cases because decisions have serious implications (Chenthara et al., 2019).</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spacing w:after="240" w:before="240" w:lineRule="auto"/>
        <w:rPr/>
      </w:pPr>
      <w:bookmarkStart w:colFirst="0" w:colLast="0" w:name="_ed24wpnyvb6e" w:id="19"/>
      <w:bookmarkEnd w:id="19"/>
      <w:r w:rsidDel="00000000" w:rsidR="00000000" w:rsidRPr="00000000">
        <w:rPr>
          <w:rtl w:val="0"/>
        </w:rPr>
        <w:t xml:space="preserve">2.3.3 Policy and Remuneration Barriers</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and reimbursement barriers is another challenge impeding the implementation of e-consultations. Research into Medicaid spending on e-consultations service suggested “the most effective policy to drive e-consult adoption would involve amending existing laws so that e-consultations qualify for timeliness metric purposes toward access for specialty care… and paying PCPs and specialists both for brokering visits via e-consults in any ambulatory setting” (AJMC, 2025). Despite CMS release in January of 2023 asserting that the service could be covered and paid, such change hasn't always reached state implementation (AJMC, 2025).</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policies can be even more severe when applied in LMICs as low resource settings usually have poorly established financial support structures, such as seldom established specialist remunerations for remote visits.</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Low Income Countries are largely dependent on volunteers’ specialists for teleconsultations services”, hence, the importance of having services that don’t entirely rely on external investment (Springer, 2024).</w:t>
      </w:r>
    </w:p>
    <w:p w:rsidR="00000000" w:rsidDel="00000000" w:rsidP="00000000" w:rsidRDefault="00000000" w:rsidRPr="00000000" w14:paraId="00000079">
      <w:pPr>
        <w:pStyle w:val="Heading1"/>
        <w:keepNext w:val="0"/>
        <w:keepLines w:val="0"/>
        <w:spacing w:before="280" w:lineRule="auto"/>
        <w:rPr/>
      </w:pPr>
      <w:bookmarkStart w:colFirst="0" w:colLast="0" w:name="_e0rmj166trbq" w:id="20"/>
      <w:bookmarkEnd w:id="20"/>
      <w:r w:rsidDel="00000000" w:rsidR="00000000" w:rsidRPr="00000000">
        <w:rPr>
          <w:rtl w:val="0"/>
        </w:rPr>
        <w:t xml:space="preserve">2.4 Virtual Multidisciplinary Tumour Boards &amp; Collaborative Models</w:t>
      </w:r>
    </w:p>
    <w:p w:rsidR="00000000" w:rsidDel="00000000" w:rsidP="00000000" w:rsidRDefault="00000000" w:rsidRPr="00000000" w14:paraId="0000007A">
      <w:pPr>
        <w:pStyle w:val="Heading2"/>
        <w:keepNext w:val="0"/>
        <w:keepLines w:val="0"/>
        <w:spacing w:before="280" w:lineRule="auto"/>
        <w:rPr/>
      </w:pPr>
      <w:bookmarkStart w:colFirst="0" w:colLast="0" w:name="_h4lviqi18ju5" w:id="21"/>
      <w:bookmarkEnd w:id="21"/>
      <w:r w:rsidDel="00000000" w:rsidR="00000000" w:rsidRPr="00000000">
        <w:rPr>
          <w:rtl w:val="0"/>
        </w:rPr>
        <w:t xml:space="preserve">2.4.1 The Virtual Multidisciplinary Tumour Board Concept</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VMTBs arguably are the most developed digital specialist collaboration model. Discussing individual cancer cases from multiple specialists, including oncologist, surgeons, radiologists, pathologists and others within a virtual setting has allowed for the discussion of and review of imaging and pathology in order to determine agreed management pathways (Blasi et al., 2021; Gebbia et al., 2021; Hopkins et al., 2022; Rao et al., 2020). Research has indicated that this improves confidence and standardizes decision making between institutions, as well as facilitating clinical governance with recorded and structured discussions. In one research study Hopkins et al. (2022) referred to virtual tumour board platform as the augmentation of complex malignancy decision-making, with structured virtual collaboration as equivalent to conventional physical tumour boards without geographical limitations to specialists. In a separate study Rao et al. (2020) indicated that the virtual molecular MDT review of cancer variants can help inform local clinical practice, with the application of quality of care delivery.</w:t>
      </w:r>
    </w:p>
    <w:p w:rsidR="00000000" w:rsidDel="00000000" w:rsidP="00000000" w:rsidRDefault="00000000" w:rsidRPr="00000000" w14:paraId="0000007C">
      <w:pPr>
        <w:pStyle w:val="Heading2"/>
        <w:spacing w:after="240" w:before="240" w:lineRule="auto"/>
        <w:rPr/>
      </w:pPr>
      <w:bookmarkStart w:colFirst="0" w:colLast="0" w:name="_5h7i8su3imuk" w:id="22"/>
      <w:bookmarkEnd w:id="22"/>
      <w:r w:rsidDel="00000000" w:rsidR="00000000" w:rsidRPr="00000000">
        <w:rPr>
          <w:b w:val="1"/>
          <w:bCs w:val="1"/>
          <w:rtl w:val="0"/>
        </w:rPr>
        <w:t xml:space="preserve">2.4.2 Limitations of VMTB Platforms</w:t>
      </w:r>
      <w:r w:rsidDel="00000000" w:rsidR="00000000" w:rsidRPr="00000000">
        <w:rPr>
          <w:rtl w:val="0"/>
        </w:rPr>
        <w:t xml:space="preserve"> </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successes VMTBs have several limitations and obstacles that prevent widespread adoption of the current systems for use by the proposed platform. For one thing the currently established systems are confined largely to the practice of Oncology and to specific organisational consortiums or health systems (Blasi et al. 2021). There appears to be no well-established robust global platform facilitating geographically disbursed specialists working within different organisations collaboratively discussing complex cases, whilst allowing clear ownership and governance structure to operate around a process flow.</w:t>
        <w:br w:type="textWrapping"/>
        <w:t xml:space="preserve">Furthermore VMTB systems primarily concern treatment planning within already ascertained diagnoses rather than facilitating hypothetical diagnosis construction. VMTB represents a form of team learning within a space that presupposes some initial diagnostic accuracy in contrast to the highly diverse cases addressed herein as to the initial diagnostic uncertainty. This seems key as diagnosis can take place utilising different kinds of cognitive processing and different types of data compared with treatments (Sutton et al. 2020).</w:t>
        <w:br w:type="textWrapping"/>
        <w:t xml:space="preserve">Finally, the infrastructure that the VMTB uses is often specific for one organisation and as such not designed for inter organisational use (Gebbia et al. 2021). The requirement to be able to integrate and access multiple existing data systems within, or linked to healthcare providers such as those for picture archiving and communication systems (PACS), or Electronic health records are major deployment barriers.</w:t>
      </w:r>
    </w:p>
    <w:p w:rsidR="00000000" w:rsidDel="00000000" w:rsidP="00000000" w:rsidRDefault="00000000" w:rsidRPr="00000000" w14:paraId="0000007E">
      <w:pPr>
        <w:pStyle w:val="Heading1"/>
        <w:spacing w:after="240" w:before="240" w:lineRule="auto"/>
        <w:rPr/>
      </w:pPr>
      <w:bookmarkStart w:colFirst="0" w:colLast="0" w:name="_vgzuxi5t9gpe" w:id="23"/>
      <w:bookmarkEnd w:id="23"/>
      <w:r w:rsidDel="00000000" w:rsidR="00000000" w:rsidRPr="00000000">
        <w:rPr>
          <w:b w:val="1"/>
          <w:bCs w:val="1"/>
          <w:rtl w:val="0"/>
        </w:rPr>
        <w:t xml:space="preserve">2.5 Cloud Security Frameworks for healthcare Collaboration</w:t>
      </w:r>
      <w:r w:rsidDel="00000000" w:rsidR="00000000" w:rsidRPr="00000000">
        <w:rPr>
          <w:rtl w:val="0"/>
        </w:rPr>
        <w:t xml:space="preserve"> </w:t>
      </w:r>
    </w:p>
    <w:p w:rsidR="00000000" w:rsidDel="00000000" w:rsidP="00000000" w:rsidRDefault="00000000" w:rsidRPr="00000000" w14:paraId="0000007F">
      <w:pPr>
        <w:pStyle w:val="Heading2"/>
        <w:spacing w:after="240" w:before="240" w:lineRule="auto"/>
        <w:rPr/>
      </w:pPr>
      <w:bookmarkStart w:colFirst="0" w:colLast="0" w:name="_1dhm90qg2eqs" w:id="24"/>
      <w:bookmarkEnd w:id="24"/>
      <w:r w:rsidDel="00000000" w:rsidR="00000000" w:rsidRPr="00000000">
        <w:rPr>
          <w:rtl w:val="0"/>
        </w:rPr>
        <w:t xml:space="preserve">2.5.1 Security Challenges in Healthcare Cloud Computing</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in healthcare cloud computing is multilayer, consisting of confidentiality, integrity, availability and regulation. A literature review carried out security challenges, their solutions for security concerns in cloud healthcare, established confidentiality, integrity, availability, ownership, privacy (of the patient’s information), authentic, non- repudiating, audit, access control, secure transmission; (PMC,2021). These requirements are quite strict in collaborative platforms where many people(users from more than one organization) need to be differentiated and granted the access for sharing clinical information. The healthcare sector has become highly targeted in cyberattacks because of the lucrative black markets where patient information can be sold for large sums.</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Cybercrime targeting the industry is evolving with the aid of AI, and defenses alone do not keep up (Protecto.ai, 2025). However, healthcare data sharing among different platforms enhances security risk. Flows of data that stream between various hospitals and insurers make security a major worry (Protecto.ai, 2025). The healthcare industry is responsible for the second greatest percentage of data breaches because of misconfiguration of cloud-(at20% ) of all incidents (Metomic,2024).</w:t>
      </w:r>
    </w:p>
    <w:p w:rsidR="00000000" w:rsidDel="00000000" w:rsidP="00000000" w:rsidRDefault="00000000" w:rsidRPr="00000000" w14:paraId="00000082">
      <w:pPr>
        <w:pStyle w:val="Heading2"/>
        <w:spacing w:after="240" w:before="240" w:lineRule="auto"/>
        <w:rPr/>
      </w:pPr>
      <w:bookmarkStart w:colFirst="0" w:colLast="0" w:name="_bcbnoflh0nek" w:id="25"/>
      <w:bookmarkEnd w:id="25"/>
      <w:r w:rsidDel="00000000" w:rsidR="00000000" w:rsidRPr="00000000">
        <w:rPr>
          <w:rtl w:val="0"/>
        </w:rPr>
        <w:t xml:space="preserve">2.5.2 RBAC in healthcare healthcare systems</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-Based Access Control RBAC has been a de-factor standard method of management of privileges in Healthcare information systems. In RBAC-based models, access rights for a user are defined by the set of roles, which have the required attributes to form a policy with least-privilege principle[60]. In the context of collaborative systems in Healthcare, anRBACmechanism would allow to finely control who is allowed to see cases, submit hypotheses, attend sessions and write medical opinion and making decisions that become final.RBAC in healthcare cloud service should consider dynamic composition of care teams during ongoing case consultation, Ad Hoc temporary access to cases for consultancy reasons and final physician’s choice along with specialist’s advice. Standard role access control models can’t meet these needs as it needs more information beyond roles that vary over context of case collaboration and must be extensible with an attribute-based approach.</w:t>
      </w:r>
    </w:p>
    <w:p w:rsidR="00000000" w:rsidDel="00000000" w:rsidP="00000000" w:rsidRDefault="00000000" w:rsidRPr="00000000" w14:paraId="00000084">
      <w:pPr>
        <w:pStyle w:val="Heading2"/>
        <w:spacing w:after="240" w:before="240" w:lineRule="auto"/>
        <w:rPr/>
      </w:pPr>
      <w:bookmarkStart w:colFirst="0" w:colLast="0" w:name="_du075xxux4ro" w:id="26"/>
      <w:bookmarkEnd w:id="26"/>
      <w:r w:rsidDel="00000000" w:rsidR="00000000" w:rsidRPr="00000000">
        <w:rPr>
          <w:rtl w:val="0"/>
        </w:rPr>
        <w:t xml:space="preserve">2.5.3 Encryption and Data Protection Standards </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vendors used by healthcare companies require stringent protocols for compliance. Key components involve encrypting transmitted and stored data, the strictest access controls and multifactor authentication, audit trails for all activities (read and write, updates), disaster recovery, and regular data backups. (Metomic, 2024) All vendors have “BAAs or Business Associate Agreements which define terms for patient data security and a clear notification process” to be provided when a breach occurs (Metomic, 2024).</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laws like the United States' HIPAA and Europe's GDPR aren't adhered to, huge sums can be lost, along with patients' confidence (Samant, 2024).</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University of Rochester Medical Center was fined three million dollars for breaking HIPAA and their privacy guidelines, which could be more expensive than the potential data breaches that occur in hospitals (Samant, 2024). Average costs of data breaches have skyrocketed to $7.13 million for the medical sector, even taking an average of 329 days to detect and contain one (Samant, 2024).</w:t>
      </w:r>
    </w:p>
    <w:p w:rsidR="00000000" w:rsidDel="00000000" w:rsidP="00000000" w:rsidRDefault="00000000" w:rsidRPr="00000000" w14:paraId="00000088">
      <w:pPr>
        <w:pStyle w:val="Heading2"/>
        <w:spacing w:after="240" w:before="240" w:lineRule="auto"/>
        <w:rPr/>
      </w:pPr>
      <w:bookmarkStart w:colFirst="0" w:colLast="0" w:name="_rdvo99a69qkn" w:id="27"/>
      <w:bookmarkEnd w:id="27"/>
      <w:r w:rsidDel="00000000" w:rsidR="00000000" w:rsidRPr="00000000">
        <w:rPr>
          <w:rtl w:val="0"/>
        </w:rPr>
        <w:t xml:space="preserve">2.5.4 Compliance Frameworks </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Healthcare organizations are faced with several regulatory frameworks to adhere to including HIPAA, GDPR, HITECH. Compliance needs updating to stay abreast with changes in legislation on the regular so as not to breach guidelines (Protecto.ai, 2025). Breaches may cause significant legal ramifications, financial penalties and damage to the brand reputation (Metomic, 2024).</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provider should also consider its ability to </w:t>
      </w:r>
      <w:r w:rsidDel="00000000" w:rsidR="00000000" w:rsidRPr="00000000">
        <w:rPr>
          <w:rFonts w:ascii="Times New Roman" w:cs="Times New Roman" w:eastAsia="Times New Roman" w:hAnsi="Times New Roman"/>
          <w:sz w:val="24"/>
          <w:szCs w:val="24"/>
          <w:rtl w:val="0"/>
        </w:rPr>
        <w:t xml:space="preserve">comply with</w:t>
      </w:r>
      <w:r w:rsidDel="00000000" w:rsidR="00000000" w:rsidRPr="00000000">
        <w:rPr>
          <w:rFonts w:ascii="Times New Roman" w:cs="Times New Roman" w:eastAsia="Times New Roman" w:hAnsi="Times New Roman"/>
          <w:sz w:val="24"/>
          <w:szCs w:val="24"/>
          <w:rtl w:val="0"/>
        </w:rPr>
        <w:t xml:space="preserve"> specific accreditations including HITRUST, SOC 2, and ISO 27001 for enhanced information security (Protecto.ai, 2025).</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platform outlined would need additional provisions, not just to implement necessary security, but to outline the advisory nature of any specialist input, and place decision-making in the primary physician’s role, providing an auditable paper trail for clinical governance purposes and medical legal protection</w:t>
      </w: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240" w:before="240" w:lineRule="auto"/>
        <w:rPr/>
      </w:pPr>
      <w:bookmarkStart w:colFirst="0" w:colLast="0" w:name="_ew4lw496h48l" w:id="28"/>
      <w:bookmarkEnd w:id="28"/>
      <w:r w:rsidDel="00000000" w:rsidR="00000000" w:rsidRPr="00000000">
        <w:rPr>
          <w:rtl w:val="0"/>
        </w:rPr>
        <w:t xml:space="preserve">2.6 Clinical Decision Support and Collaborative Reasoning</w:t>
      </w:r>
    </w:p>
    <w:p w:rsidR="00000000" w:rsidDel="00000000" w:rsidP="00000000" w:rsidRDefault="00000000" w:rsidRPr="00000000" w14:paraId="0000008D">
      <w:pPr>
        <w:pStyle w:val="Heading2"/>
        <w:spacing w:after="240" w:before="240" w:lineRule="auto"/>
        <w:rPr>
          <w:sz w:val="24"/>
          <w:szCs w:val="24"/>
        </w:rPr>
      </w:pPr>
      <w:bookmarkStart w:colFirst="0" w:colLast="0" w:name="_p9lk1ja4rq99" w:id="29"/>
      <w:bookmarkEnd w:id="29"/>
      <w:r w:rsidDel="00000000" w:rsidR="00000000" w:rsidRPr="00000000">
        <w:rPr>
          <w:b w:val="1"/>
          <w:bCs w:val="1"/>
          <w:sz w:val="30"/>
          <w:szCs w:val="30"/>
          <w:rtl w:val="0"/>
        </w:rPr>
        <w:t xml:space="preserve">2.6.1 Clinical Decision Support Systems (CDSS)</w:t>
      </w:r>
      <w:r w:rsidDel="00000000" w:rsidR="00000000" w:rsidRPr="00000000">
        <w:rPr>
          <w:sz w:val="24"/>
          <w:szCs w:val="24"/>
          <w:rtl w:val="0"/>
        </w:rPr>
        <w:t xml:space="preserve"> </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Decision Support Systems have come a long way since basic alert notifications; there has been significant progress in advanced systems utilizing machine learning &amp; artificial intelligence. Still the overall conclusion drawn from articles &amp; literature is the use of these tools in supporting not superseding human Clinical Judgment (Sutton et al., 2020) . There is a comprehensive insight into clinical decision support systems, its gains and risks, &amp; further emphasis has been placed on the integration in clinical workflows &amp; user acceptance to guarantee that these tools uphold clinician's control (Sutton et al., 2020) .</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systematic review of human AI interaction in decision support, autonomous systems &amp; LLM agent(s) reveals there exist three generations of Human AI interaction namely as following: Gen 1 refers to decision support systems which are used to providing recommenda-tions that is considered by humans in the same form of.</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2 pertains to the Autonomous Systems which do not have direct human supervision and control. Gen 3 involves the LLM/agent systems that are capable of dialogue with human beings MDPI (2026). Based on this review it's evident that there is predominant use of Gen 1 human- AI interaction systems within the health care settings; meaning an increased level of support instead of replacement of Human Clinical Reasoning.</w:t>
      </w:r>
    </w:p>
    <w:p w:rsidR="00000000" w:rsidDel="00000000" w:rsidP="00000000" w:rsidRDefault="00000000" w:rsidRPr="00000000" w14:paraId="00000091">
      <w:pPr>
        <w:pStyle w:val="Heading2"/>
        <w:spacing w:after="240" w:before="240" w:lineRule="auto"/>
        <w:rPr/>
      </w:pPr>
      <w:bookmarkStart w:colFirst="0" w:colLast="0" w:name="_45rzoj5giaqr" w:id="30"/>
      <w:bookmarkEnd w:id="30"/>
      <w:r w:rsidDel="00000000" w:rsidR="00000000" w:rsidRPr="00000000">
        <w:rPr>
          <w:rtl w:val="0"/>
        </w:rPr>
        <w:t xml:space="preserve">2.6.2 The Collaborative Reasoning Advantage</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platform is aligned with the Gen 1 framework in that it activates and focuses on the use of collaborative human expertise rather than introducing AI to substitute for it. The platform takes advantage of extensive evidence that the combination of expert human input through structured medical collaboration leads to greater accuracy of diagnosis, improved clinical decision making and better planned management (Rao et al., 2020; Hopkins et al., 2022). Building on the work </w:t>
      </w:r>
      <w:r w:rsidDel="00000000" w:rsidR="00000000" w:rsidRPr="00000000">
        <w:rPr>
          <w:rFonts w:ascii="Times New Roman" w:cs="Times New Roman" w:eastAsia="Times New Roman" w:hAnsi="Times New Roman"/>
          <w:rtl w:val="0"/>
        </w:rPr>
        <w:t xml:space="preserve">carried out</w:t>
      </w:r>
      <w:r w:rsidDel="00000000" w:rsidR="00000000" w:rsidRPr="00000000">
        <w:rPr>
          <w:rFonts w:ascii="Times New Roman" w:cs="Times New Roman" w:eastAsia="Times New Roman" w:hAnsi="Times New Roman"/>
          <w:rtl w:val="0"/>
        </w:rPr>
        <w:t xml:space="preserve"> in the field of oncology virtual teams, the platform addresses the application of principles of structured medical collaboration to the field of complex cases.</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human expertise and AI substitution may be clinically different.</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autonomousAI can analyze massive amounts of data and may detect complex relationships that no single person can see,AI cannot,in the current state,apply that data in the context of clinical judgment,or apply ethical judgment or be held professionally responsible for its conclusions. In developing a model focused on human expertise-sharing the design supports Accountability &amp; Professional responsibility.</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keepNext w:val="0"/>
        <w:keepLines w:val="0"/>
        <w:spacing w:before="280" w:lineRule="auto"/>
        <w:rPr/>
      </w:pPr>
      <w:bookmarkStart w:colFirst="0" w:colLast="0" w:name="_m66rthv3ieqj" w:id="31"/>
      <w:bookmarkEnd w:id="31"/>
      <w:r w:rsidDel="00000000" w:rsidR="00000000" w:rsidRPr="00000000">
        <w:rPr>
          <w:rtl w:val="0"/>
        </w:rPr>
        <w:t xml:space="preserve">2.7 Benefits of Structured Digital Collaboration</w:t>
      </w:r>
    </w:p>
    <w:p w:rsidR="00000000" w:rsidDel="00000000" w:rsidP="00000000" w:rsidRDefault="00000000" w:rsidRPr="00000000" w14:paraId="00000096">
      <w:pPr>
        <w:pStyle w:val="Heading2"/>
        <w:spacing w:after="240" w:before="240" w:lineRule="auto"/>
        <w:rPr/>
      </w:pPr>
      <w:bookmarkStart w:colFirst="0" w:colLast="0" w:name="_w27l07jilpxn" w:id="32"/>
      <w:bookmarkEnd w:id="32"/>
      <w:r w:rsidDel="00000000" w:rsidR="00000000" w:rsidRPr="00000000">
        <w:rPr>
          <w:b w:val="1"/>
          <w:bCs w:val="1"/>
          <w:sz w:val="30"/>
          <w:szCs w:val="30"/>
          <w:rtl w:val="0"/>
        </w:rPr>
        <w:t xml:space="preserve">2.7.1 Patient-Centred Benefits</w:t>
      </w:r>
      <w:r w:rsidDel="00000000" w:rsidR="00000000" w:rsidRPr="00000000">
        <w:rPr>
          <w:rtl w:val="0"/>
        </w:rPr>
        <w:t xml:space="preserve"> </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digital medical platforms are of significant benefit for patients, especially those with rare diseases or complex medical presentations. Patients suffer most significantly from the "diagnostic odyssey" that is often required for their presentations. Early and structured participation of specialists through collaboration will help to avoid extended or multiple diagnostic itineraries by increasing access to expertise (Liddy et al., 2019). For patients in rural and remote areas the need to travel to access specialised advice or undergo unnecessary tests will be reduced (Kruse et al., 2020).</w:t>
      </w:r>
    </w:p>
    <w:p w:rsidR="00000000" w:rsidDel="00000000" w:rsidP="00000000" w:rsidRDefault="00000000" w:rsidRPr="00000000" w14:paraId="00000098">
      <w:pPr>
        <w:pStyle w:val="Heading2"/>
        <w:spacing w:after="240" w:before="240" w:lineRule="auto"/>
        <w:rPr/>
      </w:pPr>
      <w:bookmarkStart w:colFirst="0" w:colLast="0" w:name="_v6wbdkw8mqu2" w:id="33"/>
      <w:bookmarkEnd w:id="33"/>
      <w:r w:rsidDel="00000000" w:rsidR="00000000" w:rsidRPr="00000000">
        <w:rPr>
          <w:rtl w:val="0"/>
        </w:rPr>
        <w:br w:type="textWrapping"/>
      </w:r>
      <w:r w:rsidDel="00000000" w:rsidR="00000000" w:rsidRPr="00000000">
        <w:rPr>
          <w:b w:val="1"/>
          <w:bCs w:val="1"/>
          <w:sz w:val="30"/>
          <w:szCs w:val="30"/>
          <w:rtl w:val="0"/>
        </w:rPr>
        <w:t xml:space="preserve">2.7.2 Provider-Centred Benefits</w:t>
      </w:r>
      <w:r w:rsidDel="00000000" w:rsidR="00000000" w:rsidRPr="00000000">
        <w:rPr>
          <w:rtl w:val="0"/>
        </w:rPr>
        <w:t xml:space="preserve"> </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care physicians benefit from such platforms as a safe and traceable method of “asking the specialist “a question . This opens the opportunity for them to develop as a practitioner with exposure to complex cases and ongoing clinical skill acquisition (Kwok et al., 2018). Quality improvement initiatives can be easily tracked with the structured digital communication and as part of the existing clinical governance system. Specialist clinicians are able to utilize, from an isolated site, existing specialist infrastructure and highly effective collaboration techniques used in Oncology virtual teams (Keely et al., 2013; Peeters et al., 2024). Participating in clinical cases from other sites with less time commitment and minimal patient disruption or travel.</w:t>
      </w:r>
    </w:p>
    <w:p w:rsidR="00000000" w:rsidDel="00000000" w:rsidP="00000000" w:rsidRDefault="00000000" w:rsidRPr="00000000" w14:paraId="0000009A">
      <w:pPr>
        <w:pStyle w:val="Heading2"/>
        <w:spacing w:after="240" w:before="240" w:lineRule="auto"/>
        <w:rPr/>
      </w:pPr>
      <w:bookmarkStart w:colFirst="0" w:colLast="0" w:name="_d0zym25n7v6i" w:id="34"/>
      <w:bookmarkEnd w:id="34"/>
      <w:r w:rsidDel="00000000" w:rsidR="00000000" w:rsidRPr="00000000">
        <w:rPr>
          <w:rtl w:val="0"/>
        </w:rPr>
        <w:br w:type="textWrapping"/>
      </w:r>
      <w:r w:rsidDel="00000000" w:rsidR="00000000" w:rsidRPr="00000000">
        <w:rPr>
          <w:b w:val="1"/>
          <w:bCs w:val="1"/>
          <w:sz w:val="30"/>
          <w:szCs w:val="30"/>
          <w:rtl w:val="0"/>
        </w:rPr>
        <w:t xml:space="preserve">2.7.3 System-Level Benefits</w:t>
      </w:r>
      <w:r w:rsidDel="00000000" w:rsidR="00000000" w:rsidRPr="00000000">
        <w:rPr>
          <w:rtl w:val="0"/>
        </w:rPr>
        <w:t xml:space="preserve"> </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care providers will, collectively, make better use of their resources (e.g. Unnecessary referrals, patient travel and duplicated investigation tests), reducing overall health care costs. Telemedicine has already demonstrated the ability to reduce direct medical costs in comparison to standard care by over a 3rd by providing a savings through higher volume and a better total profit/loss (Springer, 2024). Gains in quality and value-adjusted life years are also gained by utilizing such technology.</w:t>
      </w: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240" w:before="240" w:lineRule="auto"/>
        <w:rPr/>
      </w:pPr>
      <w:bookmarkStart w:colFirst="0" w:colLast="0" w:name="_rca0b2k3mry5" w:id="35"/>
      <w:bookmarkEnd w:id="35"/>
      <w:r w:rsidDel="00000000" w:rsidR="00000000" w:rsidRPr="00000000">
        <w:rPr>
          <w:rtl w:val="0"/>
        </w:rPr>
        <w:t xml:space="preserve">2.8 Related Studies</w:t>
      </w:r>
    </w:p>
    <w:p w:rsidR="00000000" w:rsidDel="00000000" w:rsidP="00000000" w:rsidRDefault="00000000" w:rsidRPr="00000000" w14:paraId="0000009D">
      <w:pPr>
        <w:pStyle w:val="Heading2"/>
        <w:spacing w:after="240" w:before="240" w:lineRule="auto"/>
        <w:rPr>
          <w:sz w:val="24"/>
          <w:szCs w:val="24"/>
        </w:rPr>
      </w:pPr>
      <w:bookmarkStart w:colFirst="0" w:colLast="0" w:name="_ac1ir2vllnav" w:id="36"/>
      <w:bookmarkEnd w:id="36"/>
      <w:r w:rsidDel="00000000" w:rsidR="00000000" w:rsidRPr="00000000">
        <w:rPr>
          <w:b w:val="1"/>
          <w:bCs w:val="1"/>
          <w:sz w:val="30"/>
          <w:szCs w:val="30"/>
          <w:rtl w:val="0"/>
        </w:rPr>
        <w:t xml:space="preserve">2.8.1 E-Consultation and Telemedicine Platforms</w:t>
      </w:r>
      <w:r w:rsidDel="00000000" w:rsidR="00000000" w:rsidRPr="00000000">
        <w:rPr>
          <w:sz w:val="24"/>
          <w:szCs w:val="24"/>
          <w:rtl w:val="0"/>
        </w:rPr>
        <w:t xml:space="preserve"> </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Liddy et al. (2013) studied building access to specialist care through e-consultation and described its crucial components, including how to integrate it into the workflow, gain buy-in from physicians in the field, and implement a plan for monitoring and quality management. Their findings helped create a basis for asynchronous consultation to help connect primary and specialty care practitioners. Liddy et al. (2016) conducted a systematic review to determine the role of electronic consultation systems that are available around the world in the care and care delivery in many settings.</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reported that consultation systems, in general, decrease referrals and increase access to specialty care, improve clinical knowledge in primary care, etc.</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Liddy et al. (2019) conducted another systematic review this time of the synchronous, provider-to-provider Electronic Consultation systems that are available around the world. This review was used to create the foundational elements and synchronous aspects of this proposed platform. Vimalananda et al. (2015), and Vimalananda et al. (2020) performed two systematic reviews on the role that electronic consultations may have, and in which ways, in which manner, and how these systems impact upon learning; as also for improving healthcare systems. They provided the underlying premise that supported an educational approach, including what kind of educational information should be embedded in the software proposed here. Keely et al. (2013) provided evidence that described the use of e-consultation for the general and subspecialties and various primary and other health providers demonstrating that it can be useful.</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Peeters et al. (2024) also performed a systematic review of family physician-to-hospital specialist electronic consultations and access to hospital care in The BMJ, showing the growing evidence base and pointing out missing implementation pieces.</w:t>
      </w:r>
    </w:p>
    <w:p w:rsidR="00000000" w:rsidDel="00000000" w:rsidP="00000000" w:rsidRDefault="00000000" w:rsidRPr="00000000" w14:paraId="000000A2">
      <w:pPr>
        <w:pStyle w:val="Heading2"/>
        <w:spacing w:after="240" w:before="240" w:lineRule="auto"/>
        <w:rPr>
          <w:sz w:val="24"/>
          <w:szCs w:val="24"/>
        </w:rPr>
      </w:pPr>
      <w:bookmarkStart w:colFirst="0" w:colLast="0" w:name="_ub9duse479ak" w:id="37"/>
      <w:bookmarkEnd w:id="37"/>
      <w:r w:rsidDel="00000000" w:rsidR="00000000" w:rsidRPr="00000000">
        <w:rPr>
          <w:b w:val="1"/>
          <w:bCs w:val="1"/>
          <w:sz w:val="30"/>
          <w:szCs w:val="30"/>
          <w:rtl w:val="0"/>
        </w:rPr>
        <w:t xml:space="preserve">2.8.2 Virtual Multidisciplinary Tumour Boards</w:t>
      </w:r>
      <w:r w:rsidDel="00000000" w:rsidR="00000000" w:rsidRPr="00000000">
        <w:rPr>
          <w:sz w:val="24"/>
          <w:szCs w:val="24"/>
          <w:rtl w:val="0"/>
        </w:rPr>
        <w:t xml:space="preserve"> </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Blasi et al. (2021) shared the implementation of virtual clinical and precision medicine tumour boards based on a cloud technology between Oncology Centers in the COVID-19 era. They defined their protocol for an observational study that addresses technical and operational challenges for effective VMTB usage. Gebbia et al. (2021) reported on a narrative review of virtual multidisciplinary tumour boards, focusing on a single disease, Lung Cancer, and detailing how a coordinated discussion improved diagnostic consensus and therapeutic choices.</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Hopkins et al. (2022) noted a tool to better support decision-making within complex malignancies via Virtual Tumour Boards, reporting the use of collaborative technology could attain outcomes similar to traditional meeting format. Rao et al. (2020) described how cancer variants could be treated differently by a coordinated effort involving an integrated process where local clinical practice is informed. The evidence showed that knowledge of genetics could be distributed even where expertise was limited.</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AkbariRad et al. (2023) evaluated the virtual multidisciplinary tumour board process for equity for cancer patients discussing reducing health disparities through the use of virtual interactions.</w:t>
      </w:r>
    </w:p>
    <w:p w:rsidR="00000000" w:rsidDel="00000000" w:rsidP="00000000" w:rsidRDefault="00000000" w:rsidRPr="00000000" w14:paraId="000000A6">
      <w:pPr>
        <w:pStyle w:val="Heading2"/>
        <w:spacing w:after="240" w:before="240" w:lineRule="auto"/>
        <w:rPr/>
      </w:pPr>
      <w:bookmarkStart w:colFirst="0" w:colLast="0" w:name="_6e08hzmepfz0" w:id="38"/>
      <w:bookmarkEnd w:id="38"/>
      <w:r w:rsidDel="00000000" w:rsidR="00000000" w:rsidRPr="00000000">
        <w:rPr>
          <w:rtl w:val="0"/>
        </w:rPr>
        <w:t xml:space="preserve">2.8.3 Cloud Computing and Security in Healthcare</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 and Chen (2015) summarized telemedicine in the cloud, including prospects and challenges of healthcare based on cloud computing technology. This would serve to anchor our technical understanding of our proposed cloud technology approach to telemedicine. Hsieh and Hsu (2012) created a cloud-computing based 12-lead Electrocardiogram (ECG) system; it helped provide context on how data transfer could be handled securely in cloud environments. Chenthara et al. (2019) created a comprehensive survey of security and privacy preserving issues and threats impacting e-health services, cloud-based services inclusive. This review highlighted security requirements in the cloud, and provided some context for our security design.</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Esposito et al. (2018) investigate novel promising privacy and security enabled cloud solutions for health care industry-oriented Data security as well as the application of privacy‐enabling, emerging technologies such asBlockchainfor enhanced trustworthy cloud Healthcare services.</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Samant (2024) comprehensively describes cloud security for the health industry emphasizing some important cloud Security requirements and features which also include the artificial intelligence- driven security policies. 2.8.4 Telemedicine in Resource-Limited Settings Miah et al. (2017) proposed a model of on-cloud healthcare facility serving rural communities in low-resource countries thereby serving as a pilot for the system proposed herein as LMICs will benefit from a well designed approach to telemedicine. Kruse et al. (2020) implemented a scoping review to determine facilitating/barriers issues related to telemedicine tools in resource constrained countries during COVID-19 pandemic.</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examined evidence around many different types of tools, providing context for the LRIC version of the proposed system. Daniels (2024) described how the telehealth system works in Ghana, one of the countries classified as middle income. This work highlighted aspects that can guide this work as it is important to consider the limitations of this country's health care structure.</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Springer (2024) made an in-depth review of telehealth and pediatric care.</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care in LMIC’s rural and remote areas was limited by networking challenges, policies, and digital divisions that could potentially be mitigated by leveraging of simplification and pre-used applications (11). This would allow LMICs access to much needed pediatric specialty expertise without overburdening the existing infrastructure. </w:t>
      </w:r>
    </w:p>
    <w:p w:rsidR="00000000" w:rsidDel="00000000" w:rsidP="00000000" w:rsidRDefault="00000000" w:rsidRPr="00000000" w14:paraId="000000AD">
      <w:pPr>
        <w:pStyle w:val="Heading2"/>
        <w:spacing w:after="240" w:before="240" w:lineRule="auto"/>
        <w:rPr/>
      </w:pPr>
      <w:bookmarkStart w:colFirst="0" w:colLast="0" w:name="_kagzs3rhsk2d" w:id="39"/>
      <w:bookmarkEnd w:id="39"/>
      <w:r w:rsidDel="00000000" w:rsidR="00000000" w:rsidRPr="00000000">
        <w:rPr>
          <w:rtl w:val="0"/>
        </w:rPr>
        <w:t xml:space="preserve">2.8.5 Clinical Decision Support and Collaborative Reasoning</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Sutton et al. (2020) reviewed the field of clinical decision support providing the context for the proposed intervention to supplement, rather than replace, the judgement of the provider. Kamsu-Foguem et al. (2015) proposed models for collaboration in telemedicine systems emphasizing not only the telecommunications components but also organisational and communications requirements necessary for successful collaboration in multi stakeholders telemedicine services. This information can guide the development of the proposed systems organizational features.</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Kwok et al. (2018) reported positive evidence of enhanced clinical knowledge of providers who utilise an e-consulting service which means information can be readily incorporated through provider to provider communication.</w:t>
      </w:r>
    </w:p>
    <w:p w:rsidR="00000000" w:rsidDel="00000000" w:rsidP="00000000" w:rsidRDefault="00000000" w:rsidRPr="00000000" w14:paraId="000000B0">
      <w:pPr>
        <w:pStyle w:val="Heading1"/>
        <w:spacing w:after="240" w:before="240" w:lineRule="auto"/>
        <w:rPr/>
      </w:pPr>
      <w:bookmarkStart w:colFirst="0" w:colLast="0" w:name="_1trw1k55eypw" w:id="40"/>
      <w:bookmarkEnd w:id="40"/>
      <w:r w:rsidDel="00000000" w:rsidR="00000000" w:rsidRPr="00000000">
        <w:rPr>
          <w:rtl w:val="0"/>
        </w:rPr>
        <w:t xml:space="preserve">2.9 Research Gap</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 significant research gap is clearly identifiable from the literature review in this section that this thesis set out to fill. Although the research has explored the advantages of e-consultation system for the provider-to- provider dyadic interaction, and the evidence in support of using VMTB to guide multi-disciplinary oncology care for multi-disciplinary treatment of cases; no integrated application has yet emerged that synthesises these two facets of care delivery in a common, secure and generalisable infrastructure to allow specialists to evaluate multiple complex cases in varying clinical situations from multiple disciplines.</w:t>
        <w:br w:type="textWrapping"/>
        <w:t xml:space="preserve">In greater detail, there exist four sub-gaps: </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literature lacks evidence about an accessible (widely available) and secured globally integrated e-consultation platform that enables collaborative review and evaluation of multiple different complex clinical cases among isolated physicians and experts, under an agreed governance that doesn’t erode the ultimate decision-making authority of the index physicians. There are VMTB systems that remain specific to the oncology speciality and only accessible within specific regions/ institutions whereas standard e-consultation systems are limited to dyadic communication; </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the systems available, including VMTBs do not facilitate guided reasoning processes, such as hypothesis generation and differential diagnosis formulation within a structured framework; </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Thirdly, the provided framework for governance is unable to effectively differentiate the advice received from specialists from the ultimate decision making by the index practitioner. The uncertainty associated with this may negatively influence the use of systems for complex case management. Finally, current solutions for the most part are not designed for the context of Low to Middle Income Countries (LMICs), which represent the greatest population of needs where these issues are amplified. VMTB and standard e-consultation are neither low cost to implement nor easy to integrate in countries with insufficient resources and workforce constraints. This thesis addresses the existing research gap by developing and deploying a secured and easy-to-use, cloud-based platform that aims to facilitate collaborative expert discussion aimed at helping specialists and index physicians formulate clinical hypotheses about complex cases while ensuring that the ultimate decision making is safeguarded. This solution is also suitable for deployment at zero direct financial costs (by utilizing freely accessible tier clouds) for healthcare settings that suffer from restricted budgets. It uses secure mechanisms (e.g. HTTPS, RBAC) while providing the necessary clinical governance frameworks.</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1"/>
        <w:spacing w:after="240" w:before="240" w:lineRule="auto"/>
        <w:rPr/>
      </w:pPr>
      <w:bookmarkStart w:colFirst="0" w:colLast="0" w:name="_64vz2dnif72f" w:id="41"/>
      <w:bookmarkEnd w:id="41"/>
      <w:r w:rsidDel="00000000" w:rsidR="00000000" w:rsidRPr="00000000">
        <w:rPr>
          <w:rtl w:val="0"/>
        </w:rPr>
        <w:t xml:space="preserve">2.10 References</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AkbariRad, M., Keshvardoost, S., Shariatmadari, H., Firoozi, A., &amp; Moodi Ghalibaf, A. (2023). Virtual tumor boards: An approach to equity in cancer care. Health Promotion Perspectives, 13(4), 166–167.</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Blasi, L., Bordonaro, R., Serretta, V., Piazza, D., Firenze, A., &amp; Gebbia, V. (2021). Virtual Clinical and Precision Medicine Tumor Boards, Cloud-Based Platform--Mediated Implementation of Multidisciplinary Reviews Among Oncology Centers in the COVID-19 Era: Protocol for an Observational Study. JMIR Research Protocols, 10(9), e26220.</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Brauchli, K., O'Mahony, D., Banach, L. and Oberholzer, M. (2005). iPath: A telemedicine platform to support health providers in low resource settings. Medical and Care Compunetics 2, 11-17.</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Chenthara, S., Ahmed, K., Wang, H., &amp; Whittaker, F. (2019). Security and privacy-preserving challenges of e-health solutions in cloud computing. IEEE Access, 7, 74361–74382.</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Security Alliance. (2024). Healthcare cloud security statistics. Cited in Metomic (2024).</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Daniels, J. (2024). The emergence of telemedicine in a low-middle-income country: Challenges and opportunities. </w:t>
      </w:r>
      <w:r w:rsidDel="00000000" w:rsidR="00000000" w:rsidRPr="00000000">
        <w:rPr>
          <w:rFonts w:ascii="Times New Roman" w:cs="Times New Roman" w:eastAsia="Times New Roman" w:hAnsi="Times New Roman"/>
          <w:sz w:val="24"/>
          <w:szCs w:val="24"/>
          <w:rtl w:val="0"/>
        </w:rPr>
        <w:t xml:space="preserve">ecancer</w:t>
      </w:r>
      <w:r w:rsidDel="00000000" w:rsidR="00000000" w:rsidRPr="00000000">
        <w:rPr>
          <w:rFonts w:ascii="Times New Roman" w:cs="Times New Roman" w:eastAsia="Times New Roman" w:hAnsi="Times New Roman"/>
          <w:sz w:val="24"/>
          <w:szCs w:val="24"/>
          <w:rtl w:val="0"/>
        </w:rPr>
        <w:t xml:space="preserve">, 18, 1679. https://doi.org/10.3332/ecancer.2024.1679</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Esposito, C., De Santis, A., Tortora, G., Chang, H., &amp; Choo, K.-K. R. (2018). Blockchain: A Panacea for Healthcare Cloud-Based Data Security and Privacy? IEEE Cloud Computing, 5(5), 31–37.</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Ezeani, I., Okwuonu, G., Chukwuonye, I., &amp; Nkpozi, M. (2022). The impact of telemedicine during the COVID-19 pandemic in Nigeria: A review. Annals of Health Research, 8(4), 260–268.</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Gebbia, V., Guarini, A., Piazza, D., Bertani, A., Spada, M., Verderame, F., ... &amp; Rizzo, S. (2021). Virtual multidisciplinary tumor boards: A narrative review focused on lung cancer. Pulmonary Therapy, 7, 493–506.</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Hopkins, S. E., Vidri, R. J., Hill, M. V., Vijayvergia, N., &amp; Farma, J. M. (2022). A virtual tumor board platform: A way to enhance decision-making for complex malignancies. Journal of Surgical Oncology, 126(5), 892–900.</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Hsieh, J.-C., &amp; Hsu, M.-W. (2012). A cloud computing based 12-lead ECG telemedicine service. BMC Medical Informatics and Decision Making, 12, Article 77.</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Security. (2023). Cost of a data breach report. Cited in Metomic (2024).</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 Z., &amp; Chen, Y. (2015). Telemedicine in the cloud era: Prospects and challenges. IEEE Pervasive Computing, 14(1), 54–61.</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Kamsu-Foguem, B., Tiako, P. F., Fotso, L. P., &amp; Foguem, C. (2015). Modeling for effective collaboration in telemedicine. Telematics and Informatics, 32(4), 776–786.</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Keely, E., Liddy, C., &amp; Afkham, A. (2013). Utilization, Benefits, and Impact of an e-Consultation Service Across Diverse Specialties and Primary Care Providers. Telemedicine and e-Health, 19(10), 733–738.</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Kruse, C. S., et al. (2020). Telemedicine in Low- and Middle-Income Countries During the COVID-19 Pandemic: A Scoping Review. Telemedicine and e-Health. https://doi.org/10.2196/20812</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Kwok, J., Olayiwola, J. N., Knox, M., Murphy, E. J., &amp; Tuot, D. S. (2018). Electronic consultation systems demonstrate educational benefits for primary care providers. Journal of Telemedicine and Telecare, 24(5), 465–472.</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Liddy, C., Drosinis, P., &amp; Keely, E. (2016). Electronic consultation systems: worldwide prevalence and their impact on patient care, a systematic review. Family Practice, 33(3), 274–285.</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Liddy, C., Moroz, I., Mihan, A., Nawar, N., &amp; Keely, E. (2019). A Systematic Review of Asynchronous, Provider-to-Provider, Electronic Consultation Services to Improve Access to Specialty Care Available Worldwide. Telemedicine and e-Health, 25(11), 184–198.</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Liddy, C., Rowan, M. S., Afkham, A., Maranger, J., &amp; Keely, E. (2013). Building access to specialist care through e-consultation. Open Medicine, 7(1), e1–e8.</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Metomic. (2024). Ensuring HIPAA Compliance in Cloud-Based Healthcare Systems. https://www.metomic.io/resource-centre/ensuring-hipaa-compliance-in-cloud-based-healthcare-systems</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Miah, S. J., Hasan, J., &amp; Gammack, J. G. (2017). On-cloud healthcare clinic: An e-health consultancy approach for remote communities in a developing country. Telematics and Informatics, 34(1), 311–322.</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Peeters, K. M. M., Reichel, L. A. M., Muris, D. M. J., Spigt, M., &amp; de Kruif, M. D. (2024). Family physician-to-hospital specialist electronic consultation and access to hospital care: A systematic review. JAMA Network Open, 7(3), e241391.</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Protecto.ai. (2025). Healthcare Data Security: Best Practices, Challenges &amp; Compliance. https://www.protecto.ai/blog/healthcare-data-security-best-practices-challenges-compliance-guide/</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Rao, S., Pitel, B., Wagner, A. H., Boca, S. M., McCoy, M., King, I., Gupta, S., Park, B. H., Warner, J. L., Chen, J., Rogan, P. K., Chakravarty, D., Griffith, M., Griffith, O. L., &amp; Madhavan, S. (2020). Collaborative, Multidisciplinary Evaluation of Cancer Variants Through Virtual Molecular Tumor Boards Informs Local Clinical Practices. JCO Clinical Cancer Informatics, 4, 602–613.</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Samant, P. S. (2024). Secure Cloud Services for the Healthcare Industry: Addressing Unique Challenges and Ensuring Compliance. International Journal for Research in Applied Science &amp; Engineering Technology, 12(IV). https://doi.org/10.22214/ijraset.2024.60636</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Springer. (2024). Telemedicine and Pediatric Care in Rural and Remote Areas of Middle-and-Low-Income Countries: Narrative Review. https://doi.org/10.1007/s44197-024-00214-8</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Sutton, R. T., Pincock, D., Baumgart, D. C., Sadowski, D. C., Fedorak, R. N., &amp; Kroeker, K. I. (2020). An overview of clinical decision support systems: Benefits, risks, and strategies for success. NPJ Digital Medicine, 3, Article 17.</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Vimalananda, V. G., Gupte, G., Seraj, S. M., Orlander, J., Berlowitz, D., Fincke, B. G., &amp; Simon, S. R. (2015). Electronic consultations (e-consults) to improve access to specialty care: A systematic review and narrative synthesis. Journal of Telemedicine and Telecare, 21(6), 323–330.</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Vimalananda, V. G., Orlander, J. D., Afable, M. K., Fincke, B. G., Solch, A. K., Rinne, S. T., Kim, E. J., Cutrona, S. L., Thomas, D. D., Strymish, J. L., &amp; Simon, S. R. (2020). Electronic consultations (E-consults) and their outcomes: a systematic review. Journal of the American Medical Informatics Association, 27(3), 471–479.</w:t>
      </w:r>
      <w:r w:rsidDel="00000000" w:rsidR="00000000" w:rsidRPr="00000000">
        <w:br w:type="page"/>
      </w:r>
      <w:r w:rsidDel="00000000" w:rsidR="00000000" w:rsidRPr="00000000">
        <w:rPr>
          <w:rtl w:val="0"/>
        </w:rPr>
      </w:r>
    </w:p>
    <w:p w:rsidR="00000000" w:rsidDel="00000000" w:rsidP="00000000" w:rsidRDefault="00000000" w:rsidRPr="00000000" w14:paraId="000000D6">
      <w:pPr>
        <w:pStyle w:val="Title"/>
        <w:jc w:val="center"/>
        <w:rPr>
          <w:rFonts w:ascii="Times New Roman" w:cs="Times New Roman" w:eastAsia="Times New Roman" w:hAnsi="Times New Roman"/>
          <w:b w:val="1"/>
          <w:bCs w:val="1"/>
        </w:rPr>
      </w:pPr>
      <w:bookmarkStart w:colFirst="0" w:colLast="0" w:name="_s7mjirjr95z6" w:id="42"/>
      <w:bookmarkEnd w:id="42"/>
      <w:r w:rsidDel="00000000" w:rsidR="00000000" w:rsidRPr="00000000">
        <w:rPr>
          <w:rFonts w:ascii="Times New Roman" w:cs="Times New Roman" w:eastAsia="Times New Roman" w:hAnsi="Times New Roman"/>
          <w:b w:val="1"/>
          <w:bCs w:val="1"/>
          <w:rtl w:val="0"/>
        </w:rPr>
        <w:t xml:space="preserve">CHAPTER THREE</w:t>
      </w:r>
    </w:p>
    <w:p w:rsidR="00000000" w:rsidDel="00000000" w:rsidP="00000000" w:rsidRDefault="00000000" w:rsidRPr="00000000" w14:paraId="000000D7">
      <w:pPr>
        <w:pStyle w:val="Title"/>
        <w:jc w:val="center"/>
        <w:rPr>
          <w:rFonts w:ascii="Times New Roman" w:cs="Times New Roman" w:eastAsia="Times New Roman" w:hAnsi="Times New Roman"/>
          <w:b w:val="1"/>
          <w:bCs w:val="1"/>
        </w:rPr>
      </w:pPr>
      <w:bookmarkStart w:colFirst="0" w:colLast="0" w:name="_60rq1vc6edw9" w:id="43"/>
      <w:bookmarkEnd w:id="43"/>
      <w:r w:rsidDel="00000000" w:rsidR="00000000" w:rsidRPr="00000000">
        <w:rPr>
          <w:rFonts w:ascii="Times New Roman" w:cs="Times New Roman" w:eastAsia="Times New Roman" w:hAnsi="Times New Roman"/>
          <w:b w:val="1"/>
          <w:bCs w:val="1"/>
          <w:rtl w:val="0"/>
        </w:rPr>
        <w:t xml:space="preserve">SYSTEM ANALYSIS AND DESIGN</w:t>
      </w:r>
    </w:p>
    <w:p w:rsidR="00000000" w:rsidDel="00000000" w:rsidP="00000000" w:rsidRDefault="00000000" w:rsidRPr="00000000" w14:paraId="000000D8">
      <w:pPr>
        <w:pStyle w:val="Heading1"/>
        <w:spacing w:after="240" w:before="240" w:lineRule="auto"/>
        <w:rPr/>
      </w:pPr>
      <w:bookmarkStart w:colFirst="0" w:colLast="0" w:name="_ahs75bjasrsg" w:id="44"/>
      <w:bookmarkEnd w:id="44"/>
      <w:r w:rsidDel="00000000" w:rsidR="00000000" w:rsidRPr="00000000">
        <w:rPr>
          <w:rtl w:val="0"/>
        </w:rPr>
        <w:t xml:space="preserve">3.1 Introduction</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utilizes the design principles established in Chapter Two into a technology implementation plan for the proposed secure cloud based platform for global collaboration between specialists in complex clinical case management. Chapter Two showed that current electronic consultation services are structurally limited to dyadic interaction, i.e. primary care physician-to-specialist consultation; virtual multidisciplinary tumour boards are restricted to certain tumour sites and narrow organisational groupings; and, an integrated, secure, and generalisable clinical reasoning infrastructure remains to be built that supports multi-specialist reasoning while safeguarding the primary physician's ultimate authority over the decision-making process (Liddy et al., 2016; Blasi et al., 2021; Kamsu-Foguem et al., 2015). This chapter therefore focuses on describing, in software engineering terms, the means by which this may be achieved.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is outlined as follows: Requirement analysis, in which functional and non-functional requirements are derived from the documented deficiencies of current systems, is documented in section 3.2, User requirements and core actor roles, and their limits of operation, are described in section 3.3, the SDLC model used for the prototype is justified in section 3.4, the methodology used to design the systems is presented in section 3.5, including modelling with use-case and activity UML diagrams of system behaviour and reasoning workflow, respectively; the overall system design is presented in section 3.6, which describes the cloud deployment architecture, the database design, the security RBAC architecture, and the clinical workspace layout; finally, a summary of this chapter is provided in section 3.7.</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spacing w:after="240" w:before="240" w:lineRule="auto"/>
        <w:rPr/>
      </w:pPr>
      <w:bookmarkStart w:colFirst="0" w:colLast="0" w:name="_9az6ly8e6i33" w:id="45"/>
      <w:bookmarkEnd w:id="45"/>
      <w:r w:rsidDel="00000000" w:rsidR="00000000" w:rsidRPr="00000000">
        <w:rPr>
          <w:rtl w:val="0"/>
        </w:rPr>
        <w:t xml:space="preserve">3.2 Requirement Analysis</w:t>
      </w:r>
    </w:p>
    <w:p w:rsidR="00000000" w:rsidDel="00000000" w:rsidP="00000000" w:rsidRDefault="00000000" w:rsidRPr="00000000" w14:paraId="000000DD">
      <w:pPr>
        <w:pStyle w:val="Heading2"/>
        <w:rPr/>
      </w:pPr>
      <w:bookmarkStart w:colFirst="0" w:colLast="0" w:name="_21uktlbyrwvv" w:id="46"/>
      <w:bookmarkEnd w:id="46"/>
      <w:r w:rsidDel="00000000" w:rsidR="00000000" w:rsidRPr="00000000">
        <w:rPr>
          <w:rtl w:val="0"/>
        </w:rPr>
        <w:t xml:space="preserve">3.2.1 Limitations of Current Systems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for the proposed platform were derived directly from the three documented classes of limitation identified in the literature review.</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dyadic e-consultation systems, i.e those in which one general practitioner poses structured clinical questions to a single specialist, offer no means by which multiple specialists can contribute at the same time to a single case, and they provide no framework for producing, comparing, and ranking different diagnostic hypotheses (Liddy et al., 2016; Vimalananda et al., 2015). In cases involving more than one organ system, the general practitioner has to take turns in making separate consultations with various specialists, with no common workspace in which the advice received can be brought together.</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communication that is informal and involves people from a range of different disciplines, carried out by telephone, email and via consumer messaging applications, does not provide adequate transparency, has inconsistent documentation, and fails to keep a record of clinical decisions that is capable of being audited (Kamsu-Foguem et al., 2015). It is not possible to support clinical governance through such channels since there is no reliable method of working out who gave what advice and when it would be necessary to do so if the decision were later to be challenged.</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Thirdly, although virtual multidisciplinary tumour boards (VMTBs) have shown that structured collaboration among a number of specialists increases diagnostic confidence and leads to more standardised decision-making, they are generally set up as infrastructure belonging to a single organisation or a single consortium, concentrate on treatment planning once an oncology diagnosis is already in place rather than on generating hypotheses when there is diagnostic uncertainty, and were not designed for inter-organisational, globally distributed participation (Blasi et al., 2021; Gebbia et al., 2021; Rao et al., 2020). Furthermore, most of the existing solutions are not designed for use in low- and middle-income country (LMIC) deployment situations, since in these contexts cost, connectivity, and workforce limitations are most serious (Miah et al., 2017; Daniels, 2024).</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pStyle w:val="Heading2"/>
        <w:rPr/>
      </w:pPr>
      <w:bookmarkStart w:colFirst="0" w:colLast="0" w:name="_eafoptwqqake" w:id="47"/>
      <w:bookmarkEnd w:id="47"/>
      <w:r w:rsidDel="00000000" w:rsidR="00000000" w:rsidRPr="00000000">
        <w:rPr>
          <w:rtl w:val="0"/>
        </w:rPr>
        <w:t xml:space="preserve">3.2.2 Functional Requirements</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functional requirements (FR) were derived from the limitations mentioned above. Each requirement is expressed in terms that can be verified, as the objectives set out in Section 1.3 call for the prototype to be assessed via controlled functional testing and task-completion measurement.</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FR1 - For role-based registration and authentication</w:t>
      </w:r>
      <w:r w:rsidDel="00000000" w:rsidR="00000000" w:rsidRPr="00000000">
        <w:rPr>
          <w:rFonts w:ascii="Times New Roman" w:cs="Times New Roman" w:eastAsia="Times New Roman" w:hAnsi="Times New Roman"/>
          <w:sz w:val="24"/>
          <w:szCs w:val="24"/>
          <w:rtl w:val="0"/>
        </w:rPr>
        <w:t xml:space="preserve">: the system must enable a user to register by specifying a role as either Primary Physician or Specialist, and must authenticate each session by using a password-based credential which is verified over an encrypted connection.</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FR2 - Case Creation and Ownership</w:t>
      </w:r>
      <w:r w:rsidDel="00000000" w:rsidR="00000000" w:rsidRPr="00000000">
        <w:rPr>
          <w:rFonts w:ascii="Times New Roman" w:cs="Times New Roman" w:eastAsia="Times New Roman" w:hAnsi="Times New Roman"/>
          <w:sz w:val="24"/>
          <w:szCs w:val="24"/>
          <w:rtl w:val="0"/>
        </w:rPr>
        <w:t xml:space="preserve">: A user who has been logged in as a Primary Physician must be able to create a clinical case which includes a structured clinical summary, a patient history, and the relevant findings; the physician who creates the case is then designated as the owner of that case.</w:t>
      </w:r>
      <w:r w:rsidDel="00000000" w:rsidR="00000000" w:rsidRPr="00000000">
        <w:br w:type="page"/>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FR3 - Structured Hypothesis Submission: </w:t>
      </w:r>
      <w:r w:rsidDel="00000000" w:rsidR="00000000" w:rsidRPr="00000000">
        <w:rPr>
          <w:rFonts w:ascii="Times New Roman" w:cs="Times New Roman" w:eastAsia="Times New Roman" w:hAnsi="Times New Roman"/>
          <w:sz w:val="24"/>
          <w:szCs w:val="24"/>
          <w:rtl w:val="0"/>
        </w:rPr>
        <w:t xml:space="preserve">A specialist who has logged into the system should be able to submit a diagnostic hypothesis with respect to a case that is accessible, using a structured format that includes the diagnosis proposed, the clinical rationale for it, and the evidence supporting it which is derived from the case data.</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FR4 - Asynchronous case discussion: </w:t>
      </w:r>
      <w:r w:rsidDel="00000000" w:rsidR="00000000" w:rsidRPr="00000000">
        <w:rPr>
          <w:rFonts w:ascii="Times New Roman" w:cs="Times New Roman" w:eastAsia="Times New Roman" w:hAnsi="Times New Roman"/>
          <w:sz w:val="24"/>
          <w:szCs w:val="24"/>
          <w:rtl w:val="0"/>
        </w:rPr>
        <w:t xml:space="preserve"> All authorised participants should be able to post narrative notes in a chronological discussion thread linked to the case, enabling store-and-forward collaboration across different time zones and among users with intermittent connectivity, in accordance with the asynchronous model which has been proven effective in the context of e-consultation (Liddy et al., 2016; Keely et al., 2013).</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FR5 - Differential diagnosis ranking:</w:t>
      </w:r>
      <w:r w:rsidDel="00000000" w:rsidR="00000000" w:rsidRPr="00000000">
        <w:rPr>
          <w:rFonts w:ascii="Times New Roman" w:cs="Times New Roman" w:eastAsia="Times New Roman" w:hAnsi="Times New Roman"/>
          <w:sz w:val="24"/>
          <w:szCs w:val="24"/>
          <w:rtl w:val="0"/>
        </w:rPr>
        <w:t xml:space="preserve">  the Primary Physician must be able to see all the hypotheses that have been submitted displayed in a single ranked list and also be able to arrange them into a ranked differential diagnosis.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FR6 Regarding the final decision record</w:t>
      </w:r>
      <w:r w:rsidDel="00000000" w:rsidR="00000000" w:rsidRPr="00000000">
        <w:rPr>
          <w:rFonts w:ascii="Times New Roman" w:cs="Times New Roman" w:eastAsia="Times New Roman" w:hAnsi="Times New Roman"/>
          <w:sz w:val="24"/>
          <w:szCs w:val="24"/>
          <w:rtl w:val="0"/>
        </w:rPr>
        <w:t xml:space="preserve">: It will be up to the Primary Physician (the case owner) to record the final clinical decision for a case, and in order to do so they must give an explicit acknowledgement that the specialist contributions are of an advisory character.</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FR7 Regarding audit logging</w:t>
      </w:r>
      <w:r w:rsidDel="00000000" w:rsidR="00000000" w:rsidRPr="00000000">
        <w:rPr>
          <w:rFonts w:ascii="Times New Roman" w:cs="Times New Roman" w:eastAsia="Times New Roman" w:hAnsi="Times New Roman"/>
          <w:sz w:val="24"/>
          <w:szCs w:val="24"/>
          <w:rtl w:val="0"/>
        </w:rPr>
        <w:t xml:space="preserve">: the system must automatically generate an audit record for each action that is both security-related and clinically relevant, such as logins, the creation of cases, the submission of hypotheses, posting comments, changes to rankings, and the recording of the final decision, including the name of the person who carried out the action, a description of the action itself, the time stamp, and the case identifier.</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FR8 Advisory governance notice</w:t>
      </w:r>
      <w:r w:rsidDel="00000000" w:rsidR="00000000" w:rsidRPr="00000000">
        <w:rPr>
          <w:rFonts w:ascii="Times New Roman" w:cs="Times New Roman" w:eastAsia="Times New Roman" w:hAnsi="Times New Roman"/>
          <w:sz w:val="24"/>
          <w:szCs w:val="24"/>
          <w:rtl w:val="0"/>
        </w:rPr>
        <w:t xml:space="preserve">: When the final decision is being recorded, the system must show a governance message indicating that the platform includes advisory specialist input and that ultimate clinical responsibility remains with the primary physician.</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2"/>
        <w:rPr/>
      </w:pPr>
      <w:bookmarkStart w:colFirst="0" w:colLast="0" w:name="_c7qr8du47vb3" w:id="48"/>
      <w:bookmarkEnd w:id="48"/>
      <w:r w:rsidDel="00000000" w:rsidR="00000000" w:rsidRPr="00000000">
        <w:rPr>
          <w:rtl w:val="0"/>
        </w:rPr>
        <w:t xml:space="preserve">3.2.3 Non-Functional Requirements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points out that the non-functional requirements (NFR) are of decisive importance with regard to the security, performance, and deployment of healthcare cloud systems.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NFR1 - Confidentiality during transmission</w:t>
      </w:r>
      <w:r w:rsidDel="00000000" w:rsidR="00000000" w:rsidRPr="00000000">
        <w:rPr>
          <w:rFonts w:ascii="Times New Roman" w:cs="Times New Roman" w:eastAsia="Times New Roman" w:hAnsi="Times New Roman"/>
          <w:sz w:val="24"/>
          <w:szCs w:val="24"/>
          <w:rtl w:val="0"/>
        </w:rPr>
        <w:t xml:space="preserve">: Client–server communication must use HTTPS (TLS) for encryption, since the unencrypted transmission of health information is a known source of breach risk in cloud healthcare environments (Chenthara et al., 2019; Metomic, 2024).</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NFR2 - Confidentiality when data is at rest</w:t>
      </w:r>
      <w:r w:rsidDel="00000000" w:rsidR="00000000" w:rsidRPr="00000000">
        <w:rPr>
          <w:rFonts w:ascii="Times New Roman" w:cs="Times New Roman" w:eastAsia="Times New Roman" w:hAnsi="Times New Roman"/>
          <w:sz w:val="24"/>
          <w:szCs w:val="24"/>
          <w:rtl w:val="0"/>
        </w:rPr>
        <w:t xml:space="preserve">: the case data, credentials, and audit logs must be stored in a managed database using encryption when at rest, and passwords must be stored only as salted hashes, not in plain text.</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NFR3 - Least Privilege Authorisation:</w:t>
      </w:r>
      <w:r w:rsidDel="00000000" w:rsidR="00000000" w:rsidRPr="00000000">
        <w:rPr>
          <w:rFonts w:ascii="Times New Roman" w:cs="Times New Roman" w:eastAsia="Times New Roman" w:hAnsi="Times New Roman"/>
          <w:sz w:val="24"/>
          <w:szCs w:val="24"/>
          <w:rtl w:val="0"/>
        </w:rPr>
        <w:t xml:space="preserve">  shall ensure access to all case resources by means of the RBAC engine described in Section 3.6.3, in accordance with the least-privilege principle recommended for healthcare cloud services (Samant, 2024; Chenthara et al., 2019).</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NFR4 - Low-latency global access:</w:t>
      </w:r>
      <w:r w:rsidDel="00000000" w:rsidR="00000000" w:rsidRPr="00000000">
        <w:rPr>
          <w:rFonts w:ascii="Times New Roman" w:cs="Times New Roman" w:eastAsia="Times New Roman" w:hAnsi="Times New Roman"/>
          <w:sz w:val="24"/>
          <w:szCs w:val="24"/>
          <w:rtl w:val="0"/>
        </w:rPr>
        <w:t xml:space="preserve"> The platform must be hosted on a geographically distributed cloud infrastructure so that participants located in different regions have acceptable response times; the geographic distribution of the cloud is a documented advantage of cloud deployment for collaborative health solutions (Jin &amp; Chen, 2015).</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NFR5 - Elastic scalability and cost constraint</w:t>
      </w:r>
      <w:r w:rsidDel="00000000" w:rsidR="00000000" w:rsidRPr="00000000">
        <w:rPr>
          <w:rFonts w:ascii="Times New Roman" w:cs="Times New Roman" w:eastAsia="Times New Roman" w:hAnsi="Times New Roman"/>
          <w:sz w:val="24"/>
          <w:szCs w:val="24"/>
          <w:rtl w:val="0"/>
        </w:rPr>
        <w:t xml:space="preserve">:The architecture must provide elastic scalability based on the number of concurrent consultations and should be capable of being deployed entirely within the resource constraints of a free-tier cloud hosting service in order that it may remain usable by providers who have limited resources in LMIC settings (Miah et al., 2017; Daniels, 2024).</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NFR6 - Regarding availability and data durability</w:t>
      </w:r>
      <w:r w:rsidDel="00000000" w:rsidR="00000000" w:rsidRPr="00000000">
        <w:rPr>
          <w:rFonts w:ascii="Times New Roman" w:cs="Times New Roman" w:eastAsia="Times New Roman" w:hAnsi="Times New Roman"/>
          <w:sz w:val="24"/>
          <w:szCs w:val="24"/>
          <w:rtl w:val="0"/>
        </w:rPr>
        <w:t xml:space="preserve">: the platform must make use of managed services which have automated backup facilities, in accordance with the disaster-recovery and regular-backup requirements identified for healthcare cloud systems (Metomic, 2024).</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NFR7 - Regarding usability</w:t>
      </w:r>
      <w:r w:rsidDel="00000000" w:rsidR="00000000" w:rsidRPr="00000000">
        <w:rPr>
          <w:rFonts w:ascii="Times New Roman" w:cs="Times New Roman" w:eastAsia="Times New Roman" w:hAnsi="Times New Roman"/>
          <w:sz w:val="24"/>
          <w:szCs w:val="24"/>
          <w:rtl w:val="0"/>
        </w:rPr>
        <w:t xml:space="preserve">: the clinical workspace should present the discussion thread, the hypothesis form, and the ranking view in a single, coherent interface, enabling the main physician to carry out the entire case-management workflow without having to switch between separate tools, since it is supported by evidence that decision-support tools must be integrated into the clinical workflow if they are to be accepted (Sutton et al., 2020).</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NFR8 - Non-repudiation and auditability:</w:t>
      </w:r>
      <w:r w:rsidDel="00000000" w:rsidR="00000000" w:rsidRPr="00000000">
        <w:rPr>
          <w:rFonts w:ascii="Times New Roman" w:cs="Times New Roman" w:eastAsia="Times New Roman" w:hAnsi="Times New Roman"/>
          <w:sz w:val="24"/>
          <w:szCs w:val="24"/>
          <w:rtl w:val="0"/>
        </w:rPr>
        <w:t xml:space="preserve"> The audit log must be append-only from the point of view of ordinary users, so that the record of the specialist advice and the final decision cannot be changed afterwards, thus supporting clinical governance and medico-legal protection as is argued in Section 2.5.</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1"/>
        <w:spacing w:after="240" w:before="240" w:lineRule="auto"/>
        <w:rPr/>
      </w:pPr>
      <w:bookmarkStart w:colFirst="0" w:colLast="0" w:name="_tdbv9pnjvo5n" w:id="49"/>
      <w:bookmarkEnd w:id="49"/>
      <w:r w:rsidDel="00000000" w:rsidR="00000000" w:rsidRPr="00000000">
        <w:rPr>
          <w:rtl w:val="0"/>
        </w:rPr>
        <w:t xml:space="preserve">3.3 User Requirements Gathering and Modeling</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has two types of clinical users, the boundaries between whose roles are intentionally made asymmetric. This asymmetry is the key requirement at the user level since the research problem stated  is not simply a lack of communication channels but rather the absence of a governance structure which separates specialist advice from the final clinical decision.</w:t>
      </w:r>
    </w:p>
    <w:p w:rsidR="00000000" w:rsidDel="00000000" w:rsidP="00000000" w:rsidRDefault="00000000" w:rsidRPr="00000000" w14:paraId="00000108">
      <w:pPr>
        <w:pStyle w:val="Heading2"/>
        <w:rPr/>
      </w:pPr>
      <w:bookmarkStart w:colFirst="0" w:colLast="0" w:name="_h9mebj0lagb" w:id="50"/>
      <w:bookmarkEnd w:id="50"/>
      <w:r w:rsidDel="00000000" w:rsidR="00000000" w:rsidRPr="00000000">
        <w:rPr>
          <w:rtl w:val="0"/>
        </w:rPr>
        <w:t xml:space="preserve">3.3.1 The primary physician (case owner)</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physician is the clinician responsible for starting the case and who retains ownership of it throughout its entire lifecycle. The requirements for this role are:</w:t>
      </w:r>
    </w:p>
    <w:p w:rsidR="00000000" w:rsidDel="00000000" w:rsidP="00000000" w:rsidRDefault="00000000" w:rsidRPr="00000000" w14:paraId="0000010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case is made available to the specialists, the clinical case record (including the clinical summary, history, and findings) should be created and edited (FR2).</w:t>
      </w:r>
    </w:p>
    <w:p w:rsidR="00000000" w:rsidDel="00000000" w:rsidP="00000000" w:rsidRDefault="00000000" w:rsidRPr="00000000" w14:paraId="0000010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specialists involved in the case and thus form the ad hoc care team for that case.</w:t>
      </w:r>
    </w:p>
    <w:p w:rsidR="00000000" w:rsidDel="00000000" w:rsidP="00000000" w:rsidRDefault="00000000" w:rsidRPr="00000000" w14:paraId="0000010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part in the asynchronous discussion thread by asking for clarification of the specialist hypotheses (FR4).</w:t>
      </w:r>
    </w:p>
    <w:p w:rsidR="00000000" w:rsidDel="00000000" w:rsidP="00000000" w:rsidRDefault="00000000" w:rsidRPr="00000000" w14:paraId="0000010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differential diagnosis ranking view, look at all the hypotheses that have been submitted and arrange them according to clinical priority (FR5).</w:t>
      </w:r>
    </w:p>
    <w:p w:rsidR="00000000" w:rsidDel="00000000" w:rsidP="00000000" w:rsidRDefault="00000000" w:rsidRPr="00000000" w14:paraId="0000010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the final clinical decision is recorded, having first recognised its advisory nature (FR6, FR8). This feature is available only to the Primary Physician.</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Physician is the only individual having an account linked to a case with owner-level permissions and the only one whose role includes decision-making authority in the system.</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2"/>
        <w:rPr/>
      </w:pPr>
      <w:bookmarkStart w:colFirst="0" w:colLast="0" w:name="_xu9dk7o17cw2" w:id="51"/>
      <w:bookmarkEnd w:id="51"/>
      <w:r w:rsidDel="00000000" w:rsidR="00000000" w:rsidRPr="00000000">
        <w:rPr>
          <w:rtl w:val="0"/>
        </w:rPr>
        <w:t xml:space="preserve">3.3.2 Specialist (Advisory Role)</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Specialist is a clinician who provides expert input in cases to which they have been given access. The requirements for this role are:</w:t>
      </w:r>
    </w:p>
    <w:p w:rsidR="00000000" w:rsidDel="00000000" w:rsidP="00000000" w:rsidRDefault="00000000" w:rsidRPr="00000000" w14:paraId="0000011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view the cases to which they have been given access, having read access to the clinical summary, the history, the findings, and the discussion thread.</w:t>
      </w:r>
    </w:p>
    <w:p w:rsidR="00000000" w:rsidDel="00000000" w:rsidP="00000000" w:rsidRDefault="00000000" w:rsidRPr="00000000" w14:paraId="0000011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forward one or more structured diagnostic hypotheses, each together with a stated reason and supporting evidence (FR3).</w:t>
      </w:r>
    </w:p>
    <w:p w:rsidR="00000000" w:rsidDel="00000000" w:rsidP="00000000" w:rsidRDefault="00000000" w:rsidRPr="00000000" w14:paraId="0000011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notes about the narrative to the discussion thread in order to defend, improve, or retract your hypotheses (FR4).</w:t>
      </w:r>
    </w:p>
    <w:p w:rsidR="00000000" w:rsidDel="00000000" w:rsidP="00000000" w:rsidRDefault="00000000" w:rsidRPr="00000000" w14:paraId="0000011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the changing ranking of the possible diagnoses, so that specialists can observe how their advice has been taken into account.</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all, the Specialist role has no decision-making power. The interface available to a Specialist does not provide any means of carrying out final decisions, and the RBAC engine mentioned in Section 3.6.3 rejects any direct request for such an action. It is this enforcement, not just a policy statement; that ensures that the Specialist's input remains advisory in fact and not merely in principle.</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2"/>
        <w:rPr/>
      </w:pPr>
      <w:bookmarkStart w:colFirst="0" w:colLast="0" w:name="_u6xivn98iv4m" w:id="52"/>
      <w:bookmarkEnd w:id="52"/>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rPr/>
      </w:pPr>
      <w:bookmarkStart w:colFirst="0" w:colLast="0" w:name="_kkpvpw3e0nat" w:id="53"/>
      <w:bookmarkEnd w:id="53"/>
      <w:r w:rsidDel="00000000" w:rsidR="00000000" w:rsidRPr="00000000">
        <w:rPr>
          <w:rtl w:val="0"/>
        </w:rPr>
        <w:t xml:space="preserve">3.3.3 Operational Boundary Model</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boundary model may be outlined in this way: the Primary Physician owns the case, puts together the team, ranks the possible hypotheses, and makes the final decision; the Specialist on the other hand provides hypotheses and presents arguments. Both the Primary Physician and the Specialist read the entire case record and the discussion. Neither of them can change the audit trail and neither can suppose that the other has the exclusive ability to do something. This model directly addresses the governance ambiguity mentioned in Section 2.3.2, wherein existing systems fail to distinguish between specialist advice and the requesting physician's decisional autonomy.</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1"/>
        <w:spacing w:after="240" w:before="240" w:lineRule="auto"/>
        <w:rPr/>
      </w:pPr>
      <w:bookmarkStart w:colFirst="0" w:colLast="0" w:name="_ifzqg0e6madj" w:id="54"/>
      <w:bookmarkEnd w:id="54"/>
      <w:r w:rsidDel="00000000" w:rsidR="00000000" w:rsidRPr="00000000">
        <w:rPr>
          <w:rtl w:val="0"/>
        </w:rPr>
        <w:t xml:space="preserve">3.4 The Selection of a Software Development Life Cycle (SDLC) Model</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prototype's development follows an iterative and incremental lifecycle approach based on Agile principles (specifically in the Scrum tradition). The decision to adopt this method was intentional and can be justified when compared with the other options.</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pure Waterfall model was rejected since its approach of moving sequentially and in a single pass from complete specification to final delivery does not suit a research prototype for which its security mechanisms, role model, and clinical workflow can only be established through repeated functional testing and refinement. Although the functional requirements in Section 3.2 (such as the structured hypothesis form and the ranking view) state what the system must do, the exact interaction design, that is, the way in which clinicians will actually rank hypotheses when faced with uncertainty, is a design issue which empirical testing deals with more effectively than having it specified at the outset.</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Spiral model was also looked at since it places a strong emphasis on risk analysis; but in this case the formal risk-assessment stages and the amount of documentation involved are more than what is needed for a single-developer prototype having a clearly defined scope of four objectives (Section 1.3).</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approach selected divides the work into short iterations, each one resulting in a working and deployable increment: </w:t>
      </w:r>
    </w:p>
    <w:p w:rsidR="00000000" w:rsidDel="00000000" w:rsidP="00000000" w:rsidRDefault="00000000" w:rsidRPr="00000000" w14:paraId="0000012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iteration authentication and role registration on the free-tier cloud host were delivered. </w:t>
      </w:r>
    </w:p>
    <w:p w:rsidR="00000000" w:rsidDel="00000000" w:rsidP="00000000" w:rsidRDefault="00000000" w:rsidRPr="00000000" w14:paraId="0000012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second iteration case creation and ownership were delivered</w:t>
      </w:r>
    </w:p>
    <w:p w:rsidR="00000000" w:rsidDel="00000000" w:rsidP="00000000" w:rsidRDefault="00000000" w:rsidRPr="00000000" w14:paraId="0000012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third iteration the structured hypothesis submission and the discussion thread were delivered.</w:t>
      </w:r>
    </w:p>
    <w:p w:rsidR="00000000" w:rsidDel="00000000" w:rsidP="00000000" w:rsidRDefault="00000000" w:rsidRPr="00000000" w14:paraId="0000012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fourth iteration the differential diagnosis ranking view and the final decision recording were delivered </w:t>
      </w:r>
    </w:p>
    <w:p w:rsidR="00000000" w:rsidDel="00000000" w:rsidP="00000000" w:rsidRDefault="00000000" w:rsidRPr="00000000" w14:paraId="0000012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fifth iteration the audit log and the governance notice were delivered, after which controlled testing was carried out using predefined mock clinical scenarios.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lifecycle directly takes into account the three practical limitations of this project. Firstly, it allows for iterative testing since each increment can be functionally tested on the cloud host as soon as it has been built, a necessity because Objective 4 calls for measured task-completion times and error rates. Secondly, it enables controlled deployment on a free-tier cloud hosting platform since each small increment can be deployed, monitored, and rolled back separately without exceeding the free-tier resource limits. Third, it accommodates the phased integration of user authentication and RBAC, which are cross-cutting security concerns that are best validated incrementally rather than bolted on at the end. The weekly cycle of build–deploy–test–review also provides natural checkpoints against the supervision structure of the project.</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1"/>
        <w:spacing w:after="240" w:before="240" w:lineRule="auto"/>
        <w:rPr/>
      </w:pPr>
      <w:bookmarkStart w:colFirst="0" w:colLast="0" w:name="_pm60ljvl922y" w:id="55"/>
      <w:bookmarkEnd w:id="55"/>
      <w:r w:rsidDel="00000000" w:rsidR="00000000" w:rsidRPr="00000000">
        <w:rPr>
          <w:rtl w:val="0"/>
        </w:rPr>
        <w:t xml:space="preserve">3.5 Methodology</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design was set out using the Unified Modeling Language (UML), the standard method for specifying the structure and behaviour of software systems, and this was supplemented by structured design techniques applied to the data and security models. UML was chosen since its use-case and activity diagrams respectively represent the actor–system privilege mapping and the stepwise clinical reasoning workflow which are at the heart of this research. </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rPr/>
      </w:pPr>
      <w:bookmarkStart w:colFirst="0" w:colLast="0" w:name="_9aseei9p9yjc" w:id="56"/>
      <w:bookmarkEnd w:id="56"/>
      <w:r w:rsidDel="00000000" w:rsidR="00000000" w:rsidRPr="00000000">
        <w:rPr>
          <w:rtl w:val="0"/>
        </w:rPr>
        <w:t xml:space="preserve">3.5.1 Use-Case Diagram</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use-case diagram illustrates the privileges given to each actor and the boundaries of the system; it includes two actors, namely the Primary Physician and the Specialist. It indicates that both of these actors have to carry out authentication first, and that the capabilities they then have diverge exactly in accordance with the operational boundaries described in Section 3.3: the Primary Physician is the one linked with case creation, differential diagnosis ranking, and the recording of the final decision, whereas the Specialist is the one associated with structured hypothesis submission. Both actors take part in the asynchronous discussion thread and have read access to the case details, and both are able to view the audit trail. The one-to-one correspondence between the diagram and the functional requirements (FR1–FR8) has been deliberately established, and this correspondence was used as a test oracle during functional testing.</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use-case diagram for the secure cloud-based clinical collaboration platform is shown below: </w:t>
      </w:r>
      <w:r w:rsidDel="00000000" w:rsidR="00000000" w:rsidRPr="00000000">
        <w:rPr>
          <w:rFonts w:ascii="Times New Roman" w:cs="Times New Roman" w:eastAsia="Times New Roman" w:hAnsi="Times New Roman"/>
          <w:sz w:val="24"/>
          <w:szCs w:val="24"/>
        </w:rPr>
        <w:drawing>
          <wp:inline distB="114300" distT="114300" distL="114300" distR="114300">
            <wp:extent cx="5262492" cy="739616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62492" cy="73961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rPr/>
      </w:pPr>
      <w:bookmarkStart w:colFirst="0" w:colLast="0" w:name="_10gmusa3m1ud" w:id="57"/>
      <w:bookmarkEnd w:id="57"/>
      <w:r w:rsidDel="00000000" w:rsidR="00000000" w:rsidRPr="00000000">
        <w:rPr>
          <w:rtl w:val="0"/>
        </w:rPr>
        <w:t xml:space="preserve">3.5.2 Activity Diagram</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diagram shows the system's workflow starting from the creation of a case and ending with the ranking of the differential diagnoses and the recording of the final decision. The workflow starts with logging in via HTTPS and then verifying the user's RBAC role; access is refused if the role verification fails. The Primary Physician then creates the case and publishes it in the collaborative workspace, after which Specialists who have been admitted to the case submit structured hypotheses. Through the asynchronous discussion thread, the hypotheses can be defended, refined or withdrawn. The submitted hypotheses are then combined in the differential diagnosis ranking view, which is ordered by the Primary Physician. When it is considered that the set of hypotheses is inadequate, the workflow goes back through the discussion thread to request further clarification or additional hypotheses; otherwise the Primary Physician makes the final clinical decision together with the acknowledgement of the advisory role, an audit log entry is created and the case workflow ends. The cycle between ranking and discussion is the diagrammatic representation of the structured reasoning process which is missing in existing e-consultation systems (Section 2.3.2).The activity diagram for the case-management and clinical reasoning workflow is shown below:</w:t>
      </w:r>
      <w:r w:rsidDel="00000000" w:rsidR="00000000" w:rsidRPr="00000000">
        <w:br w:type="page"/>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75484" cy="872966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75484" cy="87296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after="240" w:before="240" w:lineRule="auto"/>
        <w:rPr/>
      </w:pPr>
      <w:bookmarkStart w:colFirst="0" w:colLast="0" w:name="_t5ucb7wgv368" w:id="58"/>
      <w:bookmarkEnd w:id="58"/>
      <w:r w:rsidDel="00000000" w:rsidR="00000000" w:rsidRPr="00000000">
        <w:rPr>
          <w:rtl w:val="0"/>
        </w:rPr>
        <w:t xml:space="preserve">3.6 System Design</w:t>
      </w:r>
    </w:p>
    <w:p w:rsidR="00000000" w:rsidDel="00000000" w:rsidP="00000000" w:rsidRDefault="00000000" w:rsidRPr="00000000" w14:paraId="00000136">
      <w:pPr>
        <w:pStyle w:val="Heading2"/>
        <w:rPr/>
      </w:pPr>
      <w:bookmarkStart w:colFirst="0" w:colLast="0" w:name="_p41g7kuk2ciy" w:id="59"/>
      <w:bookmarkEnd w:id="59"/>
      <w:r w:rsidDel="00000000" w:rsidR="00000000" w:rsidRPr="00000000">
        <w:rPr>
          <w:rtl w:val="0"/>
        </w:rPr>
        <w:t xml:space="preserve">3.6.1 System Architecture</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a modular web application which has been deployed on a free-tier cloud hosting service and is divided into three logical tiers.</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Tier:</w:t>
      </w:r>
      <w:r w:rsidDel="00000000" w:rsidR="00000000" w:rsidRPr="00000000">
        <w:rPr>
          <w:rFonts w:ascii="Times New Roman" w:cs="Times New Roman" w:eastAsia="Times New Roman" w:hAnsi="Times New Roman"/>
          <w:sz w:val="24"/>
          <w:szCs w:val="24"/>
          <w:rtl w:val="0"/>
        </w:rPr>
        <w:t xml:space="preserve">  consists of a browser-based client that functions as a single clinical workspace and communicates with the application tier solely via HTTPS. Since no clinical data is stored in the browser beyond the current session, there is no risk to confidentiality if the device being used is shared or has low specifications.</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Tier:</w:t>
      </w:r>
      <w:r w:rsidDel="00000000" w:rsidR="00000000" w:rsidRPr="00000000">
        <w:rPr>
          <w:rFonts w:ascii="Times New Roman" w:cs="Times New Roman" w:eastAsia="Times New Roman" w:hAnsi="Times New Roman"/>
          <w:sz w:val="24"/>
          <w:szCs w:val="24"/>
          <w:rtl w:val="0"/>
        </w:rPr>
        <w:t xml:space="preserve"> consists of a server application that has been broken down into five cooperating modules: </w:t>
      </w:r>
    </w:p>
    <w:p w:rsidR="00000000" w:rsidDel="00000000" w:rsidP="00000000" w:rsidRDefault="00000000" w:rsidRPr="00000000" w14:paraId="0000013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 service, which is responsible for handling registration, verifying credentials, and managing sessions</w:t>
      </w:r>
    </w:p>
    <w:p w:rsidR="00000000" w:rsidDel="00000000" w:rsidP="00000000" w:rsidRDefault="00000000" w:rsidRPr="00000000" w14:paraId="0000013D">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RBAC engine, which checks each incoming request against the actor's role and the case-scoped permissions before any module has access to clinical data</w:t>
      </w:r>
    </w:p>
    <w:p w:rsidR="00000000" w:rsidDel="00000000" w:rsidP="00000000" w:rsidRDefault="00000000" w:rsidRPr="00000000" w14:paraId="0000013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service, which deals with case records, the composition of the team, and the ranking of the differential diagnosis</w:t>
      </w:r>
    </w:p>
    <w:p w:rsidR="00000000" w:rsidDel="00000000" w:rsidP="00000000" w:rsidRDefault="00000000" w:rsidRPr="00000000" w14:paraId="0000013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Collaboration service, which manages the structured hypothesis store and the asynchronous discussion thread</w:t>
      </w:r>
    </w:p>
    <w:p w:rsidR="00000000" w:rsidDel="00000000" w:rsidP="00000000" w:rsidRDefault="00000000" w:rsidRPr="00000000" w14:paraId="0000014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Audit service, which maintains the append-only audit log.</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positioning the RBAC engine as a gateway in front of the clinical modules, in-depth security is achieved: even if a clinical module had a defect, requests lacking the correct role and case scope would still be rejected at the gateway. This is in line with the layered security requirements for healthcare cloud services as identified by Chenthara et al. (2019) and Samant (2024).</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Tier:</w:t>
      </w:r>
      <w:r w:rsidDel="00000000" w:rsidR="00000000" w:rsidRPr="00000000">
        <w:rPr>
          <w:rFonts w:ascii="Times New Roman" w:cs="Times New Roman" w:eastAsia="Times New Roman" w:hAnsi="Times New Roman"/>
          <w:sz w:val="24"/>
          <w:szCs w:val="24"/>
          <w:rtl w:val="0"/>
        </w:rPr>
        <w:t xml:space="preserve"> involves the use of a managed relational database which stores information on users, roles, cases, hypotheses, discussion notes, rankings, decisions, and audit records, with encryption when the data is at rest and with automated backups (NFR2, NFR6). Managed database hosting is employed since it passes on the responsibilities of patching and ensuring durability to the cloud provider, a feasible approach within a free-tier budget and one that is in line with the cost-effectiveness reason for using the cloud in healthcare (Jin &amp; Chen, 2015).</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view shows that both the application tier and the data tier are provided as managed services on the free-tier cloud platform, with communication secured by the platform's TLS termination, so HTTPS is used by default (NFR1) and geographic distribution is employed to ensure low-latency access (NFR4). The architecture is based on a modular monolith rather than a microservice cluster, and this has been deliberately chosen since a modular monolith meets the scalability needs of a prototype while at the same time being able to be deployed within the free-tier limits regarding memory and computing power (NFR5); in contrast, a microservice arrangement would result in resource usage per service exceeding those quotas with no functional advantage at this scale.</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2"/>
        <w:rPr/>
      </w:pPr>
      <w:bookmarkStart w:colFirst="0" w:colLast="0" w:name="_9zxoxgm3ob00" w:id="60"/>
      <w:bookmarkEnd w:id="60"/>
      <w:r w:rsidDel="00000000" w:rsidR="00000000" w:rsidRPr="00000000">
        <w:rPr>
          <w:rtl w:val="0"/>
        </w:rPr>
        <w:t xml:space="preserve">3.6.2 Database Model</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entity-relationship model includes the following main entities and relationships.</w:t>
      </w:r>
    </w:p>
    <w:p w:rsidR="00000000" w:rsidDel="00000000" w:rsidP="00000000" w:rsidRDefault="00000000" w:rsidRPr="00000000" w14:paraId="00000149">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defined by user_id (which is the primary key), full_name, email (which is unique), password_hash, and role_id (which is a foreign key), and credentials are stored only in the form of salted hashes (NFR2); the role specified is assigned at the time of registration (FR1).</w:t>
      </w:r>
    </w:p>
    <w:p w:rsidR="00000000" w:rsidDel="00000000" w:rsidP="00000000" w:rsidRDefault="00000000" w:rsidRPr="00000000" w14:paraId="0000014A">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(role_id PK, role_name): it is seeded with precisely two values – PRIMARY_PHYSICIAN and SPECIALIST – in order that the privilege asymmetry mentioned in Section 3.3 may be enforced both at the application level and at the data level.</w:t>
      </w:r>
    </w:p>
    <w:p w:rsidR="00000000" w:rsidDel="00000000" w:rsidP="00000000" w:rsidRDefault="00000000" w:rsidRPr="00000000" w14:paraId="0000014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(case_id is the primary key and owner_id is a foreign key referring to the User, title, clinical_summary, history, findings, status, and created_at) has the owner_id which designates the Primary Physician as the case owner (FR2) and the status is used to track the case's lifecycle (open, under_review, decided, closed).</w:t>
      </w:r>
    </w:p>
    <w:p w:rsidR="00000000" w:rsidDel="00000000" w:rsidP="00000000" w:rsidRDefault="00000000" w:rsidRPr="00000000" w14:paraId="0000014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CaseTeam is defined by case_id and specialist_id along with granted_at, the composite primary key being the pair (case_id, specialist_id). This junction table keeps track of which specialists have been admitted to each case and serves as the data source for the case-level access checks carried out by the RBAC engine.</w:t>
      </w:r>
    </w:p>
    <w:p w:rsidR="00000000" w:rsidDel="00000000" w:rsidP="00000000" w:rsidRDefault="00000000" w:rsidRPr="00000000" w14:paraId="0000014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(hypothesis_id PK, case_id FK, specialist_id FK, proposed_diagnosis, rationale, supporting_evidence, submitted_at) implements FR3; it assigns each hypothesis to exactly one specialist and one case, thus meeting the non-repudiation requirement (NFR8).</w:t>
      </w:r>
    </w:p>
    <w:p w:rsidR="00000000" w:rsidDel="00000000" w:rsidP="00000000" w:rsidRDefault="00000000" w:rsidRPr="00000000" w14:paraId="0000014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DiscussionNote (note_id is the primary key, case_id is a foreign key, author_id is a foreign key, body, posted_at). This realization implements FR4; the posts are ordered chronologically according to posted_at, which gives the asynchronous nature to the thread.</w:t>
      </w:r>
    </w:p>
    <w:p w:rsidR="00000000" w:rsidDel="00000000" w:rsidP="00000000" w:rsidRDefault="00000000" w:rsidRPr="00000000" w14:paraId="0000014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DiagnosisRanking (ranking_id is the primary key, case_id is a foreign key, hypothesis_id is a foreign key, rank_position, updated_at) implements FR5; for each hypothesis there is one ranking record which shows the order preferred by the Primary Physician.</w:t>
      </w:r>
    </w:p>
    <w:p w:rsidR="00000000" w:rsidDel="00000000" w:rsidP="00000000" w:rsidRDefault="00000000" w:rsidRPr="00000000" w14:paraId="00000150">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is defined by the fields decision_id (primary key), case_id (foreign key) and the value is unique, decider_id (foreign key), final_diagnosis, advisory_acknowledged (a boolean), and recorded_at. The uniqueness constraint on case_id ensures at the level of the data that only one final decision can ever be recorded per case and that it must be recorded by the case owner (FR6).</w:t>
      </w:r>
    </w:p>
    <w:p w:rsidR="00000000" w:rsidDel="00000000" w:rsidP="00000000" w:rsidRDefault="00000000" w:rsidRPr="00000000" w14:paraId="0000015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AuditLog consists of the following fields: log_id (primary key), actor_id (foreign key), action, entity_type, entity_id, case_id, and timestamp. It is entirely created by the Audit service and, since ordinary users have no authority to update or delete entries in this table, the table functions in effect as an append-only table (FR7, NFR8).</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relationships in question are as follows: a single User (that is, the owner) to a number of Cases; a many-to-many relationship between Case and Specialist through the CaseTeam; each Case is associated with many Hypotheses, DiscussionNotes, and Ranking rows; and each Case has exactly one Decision. The schema is in third normal form since no non-key attribute depends on anything other than the key of its table, thus removing the update anomalies that would otherwise complicate audit consistency.</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2"/>
        <w:rPr/>
      </w:pPr>
      <w:bookmarkStart w:colFirst="0" w:colLast="0" w:name="_43hhq4ojakou" w:id="61"/>
      <w:bookmarkEnd w:id="61"/>
      <w:r w:rsidDel="00000000" w:rsidR="00000000" w:rsidRPr="00000000">
        <w:rPr>
          <w:rtl w:val="0"/>
        </w:rPr>
        <w:t xml:space="preserve">3.6.3 The design of security and role-based access control (RBAC)</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has been chosen as the access-control model since it is the de-facto standard for privilege management in healthcare information systems and directly embodies the least-privilege principle. In the case of RBAC, permissions are assigned to roles not to individual users, which means that the two-role privilege asymmetry defined in Section 3.3 is stated once in the form of a permission matrix and enforced in a uniform way.</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permission matrix is defined in the following way: for case creation, only the Primary Physician may do so; in order to admit a specialist to a case (by writing to CaseTeam), only the Primary Physician can act; with regard to structured hypothesis submission, only specialists are allowed, and only in those cases where there is a CaseTeam row for that specialist; for discussion postings, the Primary Physician may post about their own cases or the Specialist may post about admitted cases, in each instance the person having posted having to be identifiable and attributable; for ranking updates, only the Primary Physician may update the rankings for their own cases; as for recording the final decision, only the Primary Physician may do so for their own cases, provided that the advisory acknowledgment has been received; the audit log is append-only and is accessible for reading by both roles when it comes to their own cases.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static RBAC model is extended in two ways since it is not capable of expressing the dynamic composition of ad hoc care teams on its own. The first of these is that permissions are scoped to the case: the RBAC engine does not only take into account the actor's role but also checks whether there is an appropriate relationship row (owner_id = actor in the case of Primary Physician capabilities; CaseTeam membership in the case of Specialist capabilities) for the particular case named in the request. The second feature is that the engine has a minimal and controlled level of awareness of attributes in that it looks at the case status so that, for instance, the final decision action is rejected when the case's status has already been decided, in accordance with the UNIQUE constraint on Decision.case_id. This approach being case-scoped and aware of the status, provides the temporary, consultation-specific access that static role models do not have, without bringing in the full complexity and administrative burden associated with a general attribute-based access control system.</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enforcement decision is written by the Audit service to the AuditLog, thus ensuring that both approved actions and requests which are denied are recorded. This brings the security design in line with the clinical governance requirement since the same audit trail which offers medico-legal protection also serves to show that the RBAC engine operated as it had been designed during testing.</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Style w:val="Heading2"/>
        <w:rPr/>
      </w:pPr>
      <w:bookmarkStart w:colFirst="0" w:colLast="0" w:name="_flp1a7vmlbq5" w:id="62"/>
      <w:bookmarkEnd w:id="62"/>
      <w:r w:rsidDel="00000000" w:rsidR="00000000" w:rsidRPr="00000000">
        <w:rPr>
          <w:rtl w:val="0"/>
        </w:rPr>
        <w:t xml:space="preserve">3.6.4 The Clinical Workspace Interface Design</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workspace is designed as a single-page interface which combines the three different views, the asynchronous discussion thread, the structured hypothesis form and list, and the differential diagnosis ranking view, into a single coherent environment (NFR7). The reason for this integration is behavioural: as shown in the clinical reasoning workflow in Figure 3.2, the process involves rapidly alternating between reading the discussion, evaluating the hypotheses, and reordering the differential; previous evidence regarding decision-support systems indicates that tools requiring users to switch between separate applications have a detrimental effect on workflow integration and acceptance (Sutton et al., 2020).</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workspace is divided into three panes. On the left-hand side the case record and the chronological discussion thread are displayed, each note showing who wrote it and the time it was made. In the centre the structured hypothesis form (including the proposed diagnosis, the rationale and the supporting evidence) is shown above a list of the hypotheses that have been submitted, each card indicating the name of the author, the time at which it was submitted and its current rank. The right pane shows the differential diagnosis ranking as an ordered list which the Primary Physician can reorder by simply manipulating it; Specialists see the same list in read-only format, thus making the advisory boundary visible within the interface. The final decision control is available only in the Primary Physician's view and when it is activated the advisory governance notice (FR8) appears, which must be acknowledged before the decision is finalised.</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is intentionally designed to be textual and of low bandwidth since it does not assume the availability of reliable high-speed connectivity, this being in line with the known limitations of low- and middle-income countries regarding their weak or slow internet connections, and the interface is responsive in order that it can be used on mobile devices, which are the most common way of accessing the internet in these circumstances .</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1"/>
        <w:spacing w:after="240" w:before="240" w:lineRule="auto"/>
        <w:rPr/>
      </w:pPr>
      <w:bookmarkStart w:colFirst="0" w:colLast="0" w:name="_ash54l1b0870" w:id="63"/>
      <w:bookmarkEnd w:id="63"/>
      <w:r w:rsidDel="00000000" w:rsidR="00000000" w:rsidRPr="00000000">
        <w:rPr>
          <w:rtl w:val="0"/>
        </w:rPr>
        <w:t xml:space="preserve">3.7 Chapter Summary</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sets out the system analysis and design of a secure cloud-based platform aimed at enabling global collaboration among specialists in the management of complex clinical cases. In section 3.1 the move from the theoretical framework to the technical blueprint is explained. Section 3.2 examines the system requirements as well as the limitations of current e-consultation models since these affect the design decisions. Section 3.3 outlines the user requirements and the operational boundaries. Section 3.4 gives a detailed account of the SDLC model that was chosen for the web-based prototype. Section 3.5 offers a detailed design methodology using UML use-case and activity diagrams. Section 3.6 specifies the components of the system design, comprising the cloud infrastructure, the database model, RBAC security, and the clinical workspace interface. The following chapter will deal with the implementation of the system and the evaluation results.</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Style w:val="Title"/>
        <w:jc w:val="center"/>
        <w:rPr>
          <w:rFonts w:ascii="Times New Roman" w:cs="Times New Roman" w:eastAsia="Times New Roman" w:hAnsi="Times New Roman"/>
          <w:b w:val="1"/>
          <w:bCs w:val="1"/>
        </w:rPr>
      </w:pPr>
      <w:bookmarkStart w:colFirst="0" w:colLast="0" w:name="_tflyi1kjpywz" w:id="64"/>
      <w:bookmarkEnd w:id="64"/>
      <w:r w:rsidDel="00000000" w:rsidR="00000000" w:rsidRPr="00000000">
        <w:br w:type="page"/>
      </w:r>
      <w:r w:rsidDel="00000000" w:rsidR="00000000" w:rsidRPr="00000000">
        <w:rPr>
          <w:rtl w:val="0"/>
        </w:rPr>
      </w:r>
    </w:p>
    <w:p w:rsidR="00000000" w:rsidDel="00000000" w:rsidP="00000000" w:rsidRDefault="00000000" w:rsidRPr="00000000" w14:paraId="00000167">
      <w:pPr>
        <w:pStyle w:val="Title"/>
        <w:jc w:val="center"/>
        <w:rPr>
          <w:rFonts w:ascii="Times New Roman" w:cs="Times New Roman" w:eastAsia="Times New Roman" w:hAnsi="Times New Roman"/>
          <w:b w:val="1"/>
          <w:bCs w:val="1"/>
        </w:rPr>
      </w:pPr>
      <w:bookmarkStart w:colFirst="0" w:colLast="0" w:name="_7lqcg0wrikuz" w:id="65"/>
      <w:bookmarkEnd w:id="65"/>
      <w:r w:rsidDel="00000000" w:rsidR="00000000" w:rsidRPr="00000000">
        <w:br w:type="page"/>
      </w:r>
      <w:r w:rsidDel="00000000" w:rsidR="00000000" w:rsidRPr="00000000">
        <w:rPr>
          <w:rtl w:val="0"/>
        </w:rPr>
      </w:r>
    </w:p>
    <w:p w:rsidR="00000000" w:rsidDel="00000000" w:rsidP="00000000" w:rsidRDefault="00000000" w:rsidRPr="00000000" w14:paraId="00000168">
      <w:pPr>
        <w:pStyle w:val="Title"/>
        <w:jc w:val="center"/>
        <w:rPr>
          <w:rFonts w:ascii="Times New Roman" w:cs="Times New Roman" w:eastAsia="Times New Roman" w:hAnsi="Times New Roman"/>
          <w:b w:val="1"/>
          <w:bCs w:val="1"/>
        </w:rPr>
      </w:pPr>
      <w:bookmarkStart w:colFirst="0" w:colLast="0" w:name="_mi55gfxtgwa" w:id="66"/>
      <w:bookmarkEnd w:id="66"/>
      <w:r w:rsidDel="00000000" w:rsidR="00000000" w:rsidRPr="00000000">
        <w:rPr>
          <w:rFonts w:ascii="Times New Roman" w:cs="Times New Roman" w:eastAsia="Times New Roman" w:hAnsi="Times New Roman"/>
          <w:b w:val="1"/>
          <w:bCs w:val="1"/>
          <w:rtl w:val="0"/>
        </w:rPr>
        <w:t xml:space="preserve">CHAPTER FOUR</w:t>
      </w:r>
    </w:p>
    <w:p w:rsidR="00000000" w:rsidDel="00000000" w:rsidP="00000000" w:rsidRDefault="00000000" w:rsidRPr="00000000" w14:paraId="00000169">
      <w:pPr>
        <w:pStyle w:val="Title"/>
        <w:jc w:val="center"/>
        <w:rPr>
          <w:rFonts w:ascii="Times New Roman" w:cs="Times New Roman" w:eastAsia="Times New Roman" w:hAnsi="Times New Roman"/>
          <w:b w:val="1"/>
          <w:bCs w:val="1"/>
        </w:rPr>
      </w:pPr>
      <w:bookmarkStart w:colFirst="0" w:colLast="0" w:name="_g7rbwhb8ocw" w:id="67"/>
      <w:bookmarkEnd w:id="67"/>
      <w:r w:rsidDel="00000000" w:rsidR="00000000" w:rsidRPr="00000000">
        <w:rPr>
          <w:rFonts w:ascii="Times New Roman" w:cs="Times New Roman" w:eastAsia="Times New Roman" w:hAnsi="Times New Roman"/>
          <w:b w:val="1"/>
          <w:bCs w:val="1"/>
          <w:rtl w:val="0"/>
        </w:rPr>
        <w:t xml:space="preserve">SYSTEM IMPLEMENTATION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bookmarkStart w:colFirst="0" w:colLast="0" w:name="_qkpno8jodwlj" w:id="68"/>
      <w:bookmarkEnd w:id="68"/>
      <w:r w:rsidDel="00000000" w:rsidR="00000000" w:rsidRPr="00000000">
        <w:rPr>
          <w:rtl w:val="0"/>
        </w:rPr>
        <w:t xml:space="preserve">4.0 Introduction</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earlier design work specified the requirements that the secure cloud-based platform for global specialist collaboration in the management of complex clinical cases must meet: it must authenticate users into two clearly separated roles, grant primary physicians full ownership of the cases and the right to make final decisions, provide specialists with a structured advisory route for putting forward diagnostic hypotheses, and ensure that all actions are recorded in an append-only audit trail. This chapter explains how that design was turned into an actual, operational system, detailing the hardware and software environment employed for both development and hosting, the creation of the secure access and governance module, the development of the collaborative clinical workspace, and the controlled testing of the prototype using simulated clinical scenarios.</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followed an iterative and incremental lifecycle whereby each functional capability was built, deployed to the cloud, and then tested before the next increment started. The end result is a live, publicly accessible web application which runs completely on free-tier cloud resources, showing that a governed multi-specialist collaboration platform can be delivered without any direct cost for infrastructure.</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Style w:val="Heading1"/>
        <w:rPr/>
      </w:pPr>
      <w:bookmarkStart w:colFirst="0" w:colLast="0" w:name="_b6xq3m2pxs7" w:id="69"/>
      <w:bookmarkEnd w:id="69"/>
      <w:r w:rsidDel="00000000" w:rsidR="00000000" w:rsidRPr="00000000">
        <w:rPr>
          <w:rtl w:val="0"/>
        </w:rPr>
        <w:t xml:space="preserve">4.1 System Requirements</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section sets out the hardware and software prerequisites needed both for the development and for hosting the prototype.</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2"/>
        <w:rPr/>
      </w:pPr>
      <w:bookmarkStart w:colFirst="0" w:colLast="0" w:name="_u723cecq0xvd" w:id="70"/>
      <w:bookmarkEnd w:id="70"/>
      <w:r w:rsidDel="00000000" w:rsidR="00000000" w:rsidRPr="00000000">
        <w:rPr>
          <w:rtl w:val="0"/>
        </w:rPr>
        <w:t xml:space="preserve">4.1.1 Hardware Requirements</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was done using a personal laptop equipped with an Intel Core i7 processor, 16GB of RAM, and a 256 GB solid-state drive; since no special hardware was needed at any point, a standard development machine was enough because all the heavy infrastructure (including compute, the database, and TLS termination) is supplied by the cloud platform.</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makes use of the free offering from a platform-as-a-service (PaaS) cloud provider, which includes a managed web runtime having 512 MB of application memory and automatic HTTPS, along with a free-tier managed PostgreSQL database that provides 256 MB of storage and automated backups. This level of quota is more than sufficient for a prototype workload involving tens of concurrent users.</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2"/>
        <w:rPr/>
      </w:pPr>
      <w:bookmarkStart w:colFirst="0" w:colLast="0" w:name="_6azo00v5qir5" w:id="71"/>
      <w:bookmarkEnd w:id="71"/>
      <w:r w:rsidDel="00000000" w:rsidR="00000000" w:rsidRPr="00000000">
        <w:rPr>
          <w:rtl w:val="0"/>
        </w:rPr>
        <w:t xml:space="preserve">4.1.2 Software Requirements</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 of software was chosen in order to meet three requirements: it had to be within the limits of the free tier, it had to include production-grade security features such as hashed storage of credentials, protection against CSRF attacks, and TLS, and it also had to allow for rapid iteration by one developer. A summary of the selected stack is given in Table 4.1.</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Software Requirements for Development and Hosting</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2.44908616188"/>
        <w:gridCol w:w="2072.396866840731"/>
        <w:gridCol w:w="987.3211488250654"/>
        <w:gridCol w:w="4447.832898172324"/>
        <w:tblGridChange w:id="0">
          <w:tblGrid>
            <w:gridCol w:w="1852.44908616188"/>
            <w:gridCol w:w="2072.396866840731"/>
            <w:gridCol w:w="987.3211488250654"/>
            <w:gridCol w:w="4447.83289817232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application logic</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framework: request handling, ORM, templating, authentication, admin interface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relational database (users, cases, hypotheses, discussion, rankings, decisions, audit log)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database host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(free 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Serverless PostgreSQL with automated backups and encryption at rest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host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(free 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web runtime with automatic HTTPS (TLS 1.2+) at the platform edge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continuous deployment trigger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Templates + Tailwind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low-bandwidth workspace interface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WSGI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Gunicorn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application server</w:t>
            </w:r>
          </w:p>
        </w:tc>
      </w:tr>
    </w:tbl>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was selected as the framework since its authentication system stores passwords solely as salted hashes by means of the PBKDF2 algorithm, its template engine includes automatic cross-site scripting (XSS) escaping, and its middleware stack offers cross-site request forgery (CSRF) protection for all forms which cause a change in state—three security features that would otherwise have to be implemented and manually audited. The combination of the free-tier PaaS and serverless database meets the requirement regarding deployment cost without giving up the managed security features such as automatic TLS certificates and encrypted storage.</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Heading1"/>
        <w:rPr/>
      </w:pPr>
      <w:bookmarkStart w:colFirst="0" w:colLast="0" w:name="_k0ox1ftzw0qe" w:id="72"/>
      <w:bookmarkEnd w:id="72"/>
      <w:r w:rsidDel="00000000" w:rsidR="00000000" w:rsidRPr="00000000">
        <w:rPr>
          <w:rtl w:val="0"/>
        </w:rPr>
        <w:t xml:space="preserve">4.2 System Implementation</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section deals with the coding, integration, and deployment stages, focusing on the secure access and governance module, which includes authentication, the enforcement of HTTPS, and the role-based access control (RBAC) engine that distinguishes the primary physician role from the specialist role.</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2"/>
        <w:rPr/>
      </w:pPr>
      <w:bookmarkStart w:colFirst="0" w:colLast="0" w:name="_3oqak46m9ap2" w:id="73"/>
      <w:bookmarkEnd w:id="73"/>
      <w:r w:rsidDel="00000000" w:rsidR="00000000" w:rsidRPr="00000000">
        <w:rPr>
          <w:rtl w:val="0"/>
        </w:rPr>
        <w:t xml:space="preserve">4.2.1 Project Structure</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structured as a modular monolith and consists of four Django applications: accounts (for registration, authentication and role assignment), cases (for case records, team admission, ranking and the final decision), collaboration (for structured hypotheses and an asynchronous discussion thread), and audit (for an append-only audit log). The fact that each of these different areas is handled by its own application maintains the modular structure while still keeping the system within a single deployable unit, a requirement due to the memory limits of the free tier.</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Style w:val="Heading2"/>
        <w:rPr/>
      </w:pPr>
      <w:bookmarkStart w:colFirst="0" w:colLast="0" w:name="_2owyxgd77qir" w:id="74"/>
      <w:bookmarkEnd w:id="74"/>
      <w:r w:rsidDel="00000000" w:rsidR="00000000" w:rsidRPr="00000000">
        <w:rPr>
          <w:rtl w:val="0"/>
        </w:rPr>
        <w:t xml:space="preserve">4.2.2 User Authentication</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full name, email address, password, and declared role are all collected during registration; the role is stored on their profile and becomes immutable afterwards, which means that a specialist account cannot automatically upgrade itself to become a primary physician account. Logins make use of Django's built-in authentication system, whereby passwords are checked against salted PBKDF2 hashes and sessions are kept track of by server-side session records that are keyed by a cookie marked as HttpOnly and Secure, so that the session token is not accessible to browser scripts and is sent only over HTTPS. Account lockout and rate limiting were implemented at the view level by restricting multiple failed login attempts from the same IP address, thus making credential-guessing attacks less feasible.</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2"/>
        <w:rPr/>
      </w:pPr>
      <w:bookmarkStart w:colFirst="0" w:colLast="0" w:name="_s04cb1pmqcax" w:id="75"/>
      <w:bookmarkEnd w:id="75"/>
      <w:r w:rsidDel="00000000" w:rsidR="00000000" w:rsidRPr="00000000">
        <w:rPr>
          <w:rtl w:val="0"/>
        </w:rPr>
        <w:t xml:space="preserve">4.2.3 HTTPS Encryption</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traffic is encrypted when it is in transit. The hosting platform automatically assigns and refreshes the TLS certificate for the domain of the application, and the edge of the platform blocks plain-HTTP requests by redirecting them to HTTPS. On the application level, the secure flags for Django's security middleware were set and HTTP Strict Transport Security (HSTS) was turned on, which causes browsers to be told never to talk to the application over an unencrypted connection. These steps satisfy the need for confidentiality in transit without requiring manual certificate management.</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2"/>
        <w:rPr/>
      </w:pPr>
      <w:bookmarkStart w:colFirst="0" w:colLast="0" w:name="_9yzkpbi702kx" w:id="76"/>
      <w:bookmarkEnd w:id="76"/>
      <w:r w:rsidDel="00000000" w:rsidR="00000000" w:rsidRPr="00000000">
        <w:rPr>
          <w:rtl w:val="0"/>
        </w:rPr>
        <w:t xml:space="preserve">4.2.4 The RBAC Engine</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request-authorisation layer, which is the RBAC engine, operates before any view handling of clinical data and checks three things for each request: the authenticated role of the actor, the relationship between the actor and the target case, and the case's present status. To enforce the permission matrix, case creation and team admission are permitted only if the actor has the PRIMARY_PHYSICIAN role; submission of a hypothesis is allowed only if the actor has the SPECIALIST role and is a member of the case team; ranking updates and the recording of a final decision are carried out only by the case's owner; and no role other than that of the owner may be used to record a decision. A rule that is specific to the case was implemented by verifying the case's owner identifier to see if they have primary-physician capabilities and by checking whether there is a team-membership record for specialist capabilities, and a rule that is aware of the status prevents a decision from being recorded once the case has already been marked as decided.</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deliberate safeguards which ensure that the enforcement mechanism is robust rather than merely advisory. The first of these is that each authorisation check is carried out on the server side by the engine, irrespective of whether the interface displays or hides anything; merely hiding a button in the browser serves only as a convenience and is not in itself a control. The second is that both successful authorisations and rejected requests are recorded in the audit log by the audit application, so that even if a request is forged or replayed by someone who is not authorised, there will still be forensic evidence available in the case of a failure. When testing was being done, direct attempts to submit a final decision while logged in as a specialist were rejected with an HTTP 403 response and resulted in a DENIED entry being added to the audit log, thus confirming that the engine operates as intended.</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2"/>
        <w:rPr/>
      </w:pPr>
      <w:bookmarkStart w:colFirst="0" w:colLast="0" w:name="_cqhuc5o89jtk" w:id="77"/>
      <w:bookmarkEnd w:id="77"/>
      <w:r w:rsidDel="00000000" w:rsidR="00000000" w:rsidRPr="00000000">
        <w:rPr>
          <w:rtl w:val="0"/>
        </w:rPr>
        <w:t xml:space="preserve">4.2.5 The Audit Log</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audit application reveals the one write pathway that is used by all the other applications. Each record includes the name of the actor, the action (for example LOGIN, CASE_CREATED, HYPOTHESIS_SUBMITTED, RANK_UPDATED, DECISION_RECORDED, ACCESS_DENIED), the type and identifier of the entity affected, the case identifier where relevant, and a UTC timestamp from the server. Ordinary user accounts do not have the necessary database privileges to update or delete audit records, which means that the log is effectively append-only and thus meets the non-repudiation requirement: once specialist advice or a final decision has been recorded, the record cannot be altered.</w:t>
      </w:r>
    </w:p>
    <w:p w:rsidR="00000000" w:rsidDel="00000000" w:rsidP="00000000" w:rsidRDefault="00000000" w:rsidRPr="00000000" w14:paraId="000001BD">
      <w:pPr>
        <w:pStyle w:val="Heading2"/>
        <w:rPr/>
      </w:pPr>
      <w:bookmarkStart w:colFirst="0" w:colLast="0" w:name="_wwbesnxry39d" w:id="78"/>
      <w:bookmarkEnd w:id="78"/>
      <w:r w:rsidDel="00000000" w:rsidR="00000000" w:rsidRPr="00000000">
        <w:rPr>
          <w:rtl w:val="0"/>
        </w:rPr>
        <w:t xml:space="preserve">4.2.6 Deployment Pipeline</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process is entirely automated via Git; each iteration was committed and pushed to the GitHub repository, whereupon the hosting platform picks up the push, rebuilds the application in a clean environment, applies the database migrations, gathers the static assets, and then restarts the service behind its TLS edge. Rolling back to any earlier commit can be done with a single click. This deployment pipeline enabled the deployment and verification of five successive functional improvements without any need for manual server administration, and ensured that the live prototype remained continuously in sync with the tested codebase.</w:t>
      </w:r>
    </w:p>
    <w:p w:rsidR="00000000" w:rsidDel="00000000" w:rsidP="00000000" w:rsidRDefault="00000000" w:rsidRPr="00000000" w14:paraId="000001BF">
      <w:pPr>
        <w:pStyle w:val="Heading2"/>
        <w:rPr/>
      </w:pPr>
      <w:bookmarkStart w:colFirst="0" w:colLast="0" w:name="_bp92vq2qcuwl" w:id="79"/>
      <w:bookmarkEnd w:id="79"/>
      <w:r w:rsidDel="00000000" w:rsidR="00000000" w:rsidRPr="00000000">
        <w:rPr>
          <w:rtl w:val="0"/>
        </w:rPr>
        <w:t xml:space="preserve">4.2.7 Implementation Challenges and Solutions</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implementation process three practical problems occurred. The first of these was that the free-tier application instances go to sleep after a period of inactivity, which means that the first request following this idle period takes several seconds; this was dealt with by reducing the number of database queries per page (all the workspace panes are served by a small constant number of queries) so that even in the case of a cold start the response is quick, and the behaviour was listed as a known limitation of the free tier rather than as a fault in the application. The second issue was that the serverless database imposes a limit on the number of connections; this was managed by setting the application's connection pooling to remain within the allowed quota. The third problem concerned the efficient serving of static assets (stylesheets and scripts) under the same quota restrictions; it was resolved by using the platform's built-in mechanism for handling static assets and by keeping the interface as light as possible, without incorporating any heavy client-side framework.</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Style w:val="Heading1"/>
        <w:rPr/>
      </w:pPr>
      <w:bookmarkStart w:colFirst="0" w:colLast="0" w:name="_6vek0u3qcap6" w:id="80"/>
      <w:bookmarkEnd w:id="80"/>
      <w:r w:rsidDel="00000000" w:rsidR="00000000" w:rsidRPr="00000000">
        <w:rPr>
          <w:rtl w:val="0"/>
        </w:rPr>
        <w:t xml:space="preserve">4.3 Program modules and interfaces</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section describes the components that users interact with and the functional logic of the application as it is realised in the collaborative clinical workspace.</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pStyle w:val="Heading2"/>
        <w:rPr/>
      </w:pPr>
      <w:bookmarkStart w:colFirst="0" w:colLast="0" w:name="_4owamri6mmhn" w:id="81"/>
      <w:bookmarkEnd w:id="81"/>
      <w:r w:rsidDel="00000000" w:rsidR="00000000" w:rsidRPr="00000000">
        <w:rPr>
          <w:rtl w:val="0"/>
        </w:rPr>
        <w:t xml:space="preserve">4.3.1 The screen for registering and logging in</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interface shows the role declaration as a clear option between Primary Physician and Specialist, with a simple description in plain language next to each option explaining the boundaries of the role. The login interface consists of a standard email and password form which is protected by CSRF tokens. When login is successful, the user is directed depending on their role: primary physicians are taken to a case dashboard that lists the cases they own together with their statuses (open, under review, decided, closed); specialists are taken to a case list containing only those cases to which they have been admitted.</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Style w:val="Heading2"/>
        <w:rPr/>
      </w:pPr>
      <w:bookmarkStart w:colFirst="0" w:colLast="0" w:name="_q0zir1ebo4h" w:id="82"/>
      <w:bookmarkEnd w:id="82"/>
      <w:r w:rsidDel="00000000" w:rsidR="00000000" w:rsidRPr="00000000">
        <w:rPr>
          <w:rtl w:val="0"/>
        </w:rPr>
        <w:t xml:space="preserve">4.3.2 Case Creation Module</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used for creating cases provides a structured form including fields for the case title, clinical summary, patient history, and the relevant findings. When the case is submitted, it is saved with the originating physician listed as the owner, an audit record is created, and the physician is then directed to the case's team page from which specialists can be admitted by means of an email address; only those users who have a registered role of Specialist can be admitted, this thereby avoiding any accidental assignment of advisory access to a primary-physician account.</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2"/>
        <w:rPr/>
      </w:pPr>
      <w:bookmarkStart w:colFirst="0" w:colLast="0" w:name="_sahkzjwq79m3" w:id="83"/>
      <w:bookmarkEnd w:id="83"/>
      <w:r w:rsidDel="00000000" w:rsidR="00000000" w:rsidRPr="00000000">
        <w:rPr>
          <w:rtl w:val="0"/>
        </w:rPr>
        <w:t xml:space="preserve">4.3.3 Structured Hypothesis Submission Module</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workspace, the hypothesis pane displays a structured form consisting of three fields: the proposed diagnosis, the clinical rationale, and the supporting evidence derived from the case data. When submissions are made, they are validated on the server side (with all three fields being required), stored together with the identity of the submitting specialist and a UTC timestamp, and then posted to the thread. Each hypothesis that already exists is shown as a card indicating the author, the time of submission, the rationale, the evidence, and its present position in the differential ranking. Specialists are allowed to submit more than one hypothesis for a given case and can add follow-up notes to modify or withdraw a previous hypothesis; even withdrawn hypotheses stay visible in the thread history, thus keeping the reasoning record complete.</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Style w:val="Heading2"/>
        <w:rPr/>
      </w:pPr>
      <w:bookmarkStart w:colFirst="0" w:colLast="0" w:name="_3zl21p6qxhdq" w:id="84"/>
      <w:bookmarkEnd w:id="84"/>
      <w:r w:rsidDel="00000000" w:rsidR="00000000" w:rsidRPr="00000000">
        <w:rPr>
          <w:rtl w:val="0"/>
        </w:rPr>
        <w:t xml:space="preserve">4.3.4 Asynchronous Discussion Thread Module</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notes linked to the case are displayed in the discussion pane in chronological order, each one showing who wrote it together with a timestamp. Members of both roles are allowed to make posts, and the posts are validated and subject to XSS escaping by the template layer. Since the thread is asynchronous, the participants can contribute from any time zone and even with intermittent connections; the stateless request–response model used by the web application does not assume a persistent connection, a feature that is appropriate for the low-bandwidth deployment scenario.</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Style w:val="Heading2"/>
        <w:rPr/>
      </w:pPr>
      <w:bookmarkStart w:colFirst="0" w:colLast="0" w:name="_xglhglqd3tt1" w:id="85"/>
      <w:bookmarkEnd w:id="85"/>
      <w:r w:rsidDel="00000000" w:rsidR="00000000" w:rsidRPr="00000000">
        <w:rPr>
          <w:rtl w:val="0"/>
        </w:rPr>
        <w:t xml:space="preserve">4.3.5 Differential Diagnosis Ranking Module</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ranking pane presents all the active hypotheses in an ordered list which shows the current differential diagnosis. The main physician can reorder the hypotheses using the direct manipulation controls (that is, by using the move-up and move-down actions) located next to each hypothesis, with each change being saved immediately, recorded in the audit log, and then made visible to all the participants when they next load their page. In the case of specialists, the same pane is displayed in read-only mode, so that the advisory boundary is apparent in the interface and not just enforced on the server.</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2"/>
        <w:rPr/>
      </w:pPr>
      <w:bookmarkStart w:colFirst="0" w:colLast="0" w:name="_gp2ky7hk2vty" w:id="86"/>
      <w:bookmarkEnd w:id="86"/>
      <w:r w:rsidDel="00000000" w:rsidR="00000000" w:rsidRPr="00000000">
        <w:rPr>
          <w:rtl w:val="0"/>
        </w:rPr>
        <w:t xml:space="preserve">4.3.6 Module for the Final Decision and Governance</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place where the final decision control is located is in the primary physician's workspace. When this control is activated, a modal window appears showing the governance notice, which makes it clear that the specialist's input on the platform is advisory in nature, that the primary physician remains responsible for the final clinical decision and for the consequences thereof, and that the decision together with the complete record of the reasoning will be permanently logged. The decision field stays disabled until the physician ticks the acknowledgment box; at that point, submitting the decision closes the case to any further hypothesis submissions or rankings, records the decision with the identity of the person who made it, and creates the appropriate audit entries. Any attempt to access the decision controls again on a case that has already been decided is rejected by both the interface and the server.</w:t>
      </w: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2"/>
        <w:rPr/>
      </w:pPr>
      <w:bookmarkStart w:colFirst="0" w:colLast="0" w:name="_wl43jc30i6fx" w:id="87"/>
      <w:bookmarkEnd w:id="87"/>
      <w:r w:rsidDel="00000000" w:rsidR="00000000" w:rsidRPr="00000000">
        <w:rPr>
          <w:rtl w:val="0"/>
        </w:rPr>
        <w:t xml:space="preserve">4</w:t>
      </w:r>
      <w:r w:rsidDel="00000000" w:rsidR="00000000" w:rsidRPr="00000000">
        <w:rPr>
          <w:rtl w:val="0"/>
        </w:rPr>
        <w:t xml:space="preserve">.3.7 Audit Trail Viewer</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 record of the chronology of the case is provided through a read-only audit trail view which is available to the participants regarding their own cases; this includes details on logins, admissions, hypotheses, activity on the threads, changes to the rankings, the decision together with its acknowledgment, and any instances where access was denied. This type of view puts the governance function of the platform into practice in that any participant, supervisor, or auditor will be able to reconstruct precisely who made what contribution and when, without having to rely on the participants' memories.</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1"/>
        <w:rPr/>
      </w:pPr>
      <w:bookmarkStart w:colFirst="0" w:colLast="0" w:name="_mogcgc8klly2" w:id="88"/>
      <w:bookmarkEnd w:id="88"/>
      <w:r w:rsidDel="00000000" w:rsidR="00000000" w:rsidRPr="00000000">
        <w:rPr>
          <w:rtl w:val="0"/>
        </w:rPr>
        <w:t xml:space="preserve">4.4 System Testing</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was tested in a controlled manner using predefined hypothetical clinical situations. Since no actual patient data was employed at any stage, all the cases were hypothetical constructions prepared for the purpose of testing, which is in keeping with the stated scope of the study. The testing was carried out along two lines: one involving functional and security testing according to the stated requirements, and the other involving the measurement of usability (in terms of task-completion times and error rates) for the entire case-management workflow.</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Style w:val="Heading2"/>
        <w:rPr/>
      </w:pPr>
      <w:bookmarkStart w:colFirst="0" w:colLast="0" w:name="_twb3xb48d2m5" w:id="89"/>
      <w:bookmarkEnd w:id="89"/>
      <w:r w:rsidDel="00000000" w:rsidR="00000000" w:rsidRPr="00000000">
        <w:rPr>
          <w:rtl w:val="0"/>
        </w:rPr>
        <w:t xml:space="preserve">4.4.1 The test environment and method</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was carried out on the live application that had been deployed, via HTTPS, using a desktop browser connected to a consumer broadband connection and a mobile browser with a 3G connection that had been throttled in order to simulate limited connectivity. Three fictional clinical situations were created in order to go through the entire workflow: </w:t>
      </w:r>
    </w:p>
    <w:p w:rsidR="00000000" w:rsidDel="00000000" w:rsidP="00000000" w:rsidRDefault="00000000" w:rsidRPr="00000000" w14:paraId="000001D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case involving a multi-system presentation of fever, joint pain, and a rash spanning the departments of internal medicine, rheumatology, and dermatology</w:t>
      </w:r>
    </w:p>
    <w:p w:rsidR="00000000" w:rsidDel="00000000" w:rsidP="00000000" w:rsidRDefault="00000000" w:rsidRPr="00000000" w14:paraId="000001E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chronic anaemia case with an unknown cause involving the departments of haematology and gastroenterology</w:t>
      </w:r>
    </w:p>
    <w:p w:rsidR="00000000" w:rsidDel="00000000" w:rsidP="00000000" w:rsidRDefault="00000000" w:rsidRPr="00000000" w14:paraId="000001E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neurological case in a child with an evolving list of possible diagnoses. </w:t>
      </w:r>
    </w:p>
    <w:p w:rsidR="00000000" w:rsidDel="00000000" w:rsidP="00000000" w:rsidRDefault="00000000" w:rsidRPr="00000000" w14:paraId="000001E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scenario, one tester account served as the primary physician and two tester accounts functioned as specialists, carrying out the full process of creating the case, admitting it to the team, submitting a hypothesis, discussing it, ranking the possibilities, and reaching a final decision.</w:t>
      </w: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2"/>
        <w:rPr/>
      </w:pPr>
      <w:bookmarkStart w:colFirst="0" w:colLast="0" w:name="_9t19bvtr4hzr" w:id="90"/>
      <w:bookmarkEnd w:id="90"/>
      <w:r w:rsidDel="00000000" w:rsidR="00000000" w:rsidRPr="00000000">
        <w:rPr>
          <w:rtl w:val="0"/>
        </w:rPr>
        <w:t xml:space="preserve">4.4.2 Functional Test Results</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 gives a summary of the functional test cases, which are each directly based on a functional requirement, together with their results.</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4.2: Functional Test Results</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3524804177546"/>
        <w:gridCol w:w="3714.67362924282"/>
        <w:gridCol w:w="3919.958224543081"/>
        <w:gridCol w:w="870.0156657963447"/>
        <w:tblGridChange w:id="0">
          <w:tblGrid>
            <w:gridCol w:w="855.3524804177546"/>
            <w:gridCol w:w="3714.67362924282"/>
            <w:gridCol w:w="3919.958224543081"/>
            <w:gridCol w:w="870.015665796344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with role = Primary Physician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created; role bound immutably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with valid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established; role-based dashboard shown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dashboard without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to login; no data exposed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physician creates a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persisted with owner recorded; audit entry written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Specialist attempts case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denied (HTTP 403); denial logged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Admitted specialist submits structured 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persisted with author and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FT06b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Non-admitted specialist submits 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denied; denial logged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physician reorders the differential ranking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order persisted and logged; visible to specialists read-only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Specialist attempts final 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denied (HTTP 403); denial logged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submission without advisory acknowledgment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rejected; acknowledgment gate enforced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submission with acknowledgment on owned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decision recorded; case closed; audit entries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review for a completed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chronology reconstructable, including denied 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twelve of the functional tests have passed; the two denial tests (FT05, FT08) and the non-admission test (FT06b) are the most important with regard to the system's purpose since they show that the separation between advisory and decision authority is enforced by the server for each request, not just displayed in the interface.</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Style w:val="Heading2"/>
        <w:rPr/>
      </w:pPr>
      <w:bookmarkStart w:colFirst="0" w:colLast="0" w:name="_cgg5bktad0bl" w:id="91"/>
      <w:bookmarkEnd w:id="91"/>
      <w:r w:rsidDel="00000000" w:rsidR="00000000" w:rsidRPr="00000000">
        <w:rPr>
          <w:rtl w:val="0"/>
        </w:rPr>
        <w:t xml:space="preserve">4.4.3 Performance Results</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times at the page level were measured in the test environment (using a desktop computer, broadband connection, and a warm instance) and are given in Table 4.3; cold-start first requests, which is a known behaviour of the free tier, have been excluded from the averages and are provided separately.</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4.3: Measured response times</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8.752"/>
        <w:gridCol w:w="2640.768"/>
        <w:gridCol w:w="2820.48"/>
        <w:tblGridChange w:id="0">
          <w:tblGrid>
            <w:gridCol w:w="3898.752"/>
            <w:gridCol w:w="2640.768"/>
            <w:gridCol w:w="2820.48"/>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 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 response time (warm)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Observed cold-start first request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creation form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Workspace (case + thread + hypotheses + ranking)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s</w:t>
            </w:r>
          </w:p>
        </w:tc>
      </w:tr>
    </w:tbl>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times stay under one second for each operation, even when the full three-pane workspace is in use, thus confirming that the low-latency requirement is satisfied under ordinary conditions. With the throttled 3G profile, warm page loads averaged 2.3 seconds, a figure that is still acceptable for an asynchronous, store-and-forward workflow which does not rely on real-time interaction.</w:t>
      </w:r>
    </w:p>
    <w:p w:rsidR="00000000" w:rsidDel="00000000" w:rsidP="00000000" w:rsidRDefault="00000000" w:rsidRPr="00000000" w14:paraId="0000023D">
      <w:pPr>
        <w:pStyle w:val="Heading2"/>
        <w:rPr/>
      </w:pPr>
      <w:bookmarkStart w:colFirst="0" w:colLast="0" w:name="_q0sadkdivpdf" w:id="92"/>
      <w:bookmarkEnd w:id="92"/>
      <w:r w:rsidDel="00000000" w:rsidR="00000000" w:rsidRPr="00000000">
        <w:rPr>
          <w:rtl w:val="0"/>
        </w:rPr>
        <w:t xml:space="preserve">4.4.4 Task completion times and error rates</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was assessed by timing five typical tasks as they were carried out repeatedly in each of the three mock scenarios. Table 4.4 gives the average time taken per task over 12 executions of the task (two turns of the testers across the three scenarios).</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4.4: Task-completion times and error rates</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3.8720000000003"/>
        <w:gridCol w:w="2281.344"/>
        <w:gridCol w:w="3254.7839999999997"/>
        <w:tblGridChange w:id="0">
          <w:tblGrid>
            <w:gridCol w:w="3823.8720000000003"/>
            <w:gridCol w:w="2281.344"/>
            <w:gridCol w:w="3254.7839999999997"/>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 completion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Errors observed (of 12 runs)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case and admit two specialists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min 41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complete structured 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 58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(missing rationale, caught by validation)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and follow a discussion exchange (3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min 12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Reorder a 4-item differential diagnosis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 05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(mis-click, self-corrected)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final decision with acknowledgment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 24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60 task executions two errors were noticed, which corresponds to an error rate of 3.3%. Both of these errors were recoverable: one was detected by the server-side form validation prior to any data being saved, and the other was caused by a mis-click during navigation that the tester corrected on their own. None of the errors led to a breach of governance, an unauthorized action, or the loss of a record. The times recorded show that a competent user could carry out the entire case cycle—from creating the case to reaching a final decision—in less than ten minutes of active interaction, without taking into account the asynchronous waiting periods during which the specialists prepare their hypotheses.</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pStyle w:val="Heading2"/>
        <w:rPr/>
      </w:pPr>
      <w:bookmarkStart w:colFirst="0" w:colLast="0" w:name="_y5pyd625iv01" w:id="93"/>
      <w:bookmarkEnd w:id="93"/>
      <w:r w:rsidDel="00000000" w:rsidR="00000000" w:rsidRPr="00000000">
        <w:rPr>
          <w:rtl w:val="0"/>
        </w:rPr>
        <w:t xml:space="preserve">4.4.5 Checking Clinical Governance Rules</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ensuring functional correctness, testing specifically checked that the platform complied with clinical governance rules. The following three features were verified: </w:t>
      </w:r>
    </w:p>
    <w:p w:rsidR="00000000" w:rsidDel="00000000" w:rsidP="00000000" w:rsidRDefault="00000000" w:rsidRPr="00000000" w14:paraId="0000025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singularity of decision: No case was found to have more than one recorded final decision and this was enforced both by the application and by a unique database constraint; </w:t>
      </w:r>
    </w:p>
    <w:p w:rsidR="00000000" w:rsidDel="00000000" w:rsidP="00000000" w:rsidRDefault="00000000" w:rsidRPr="00000000" w14:paraId="0000025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Advisory provenance: each hypothesis and note relating to a decided case was attributable to its author and appeared in the audit trail, so that the decision could always be traced back to the evidence and advice upon which it was based;</w:t>
      </w:r>
    </w:p>
    <w:p w:rsidR="00000000" w:rsidDel="00000000" w:rsidP="00000000" w:rsidRDefault="00000000" w:rsidRPr="00000000" w14:paraId="0000025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Tamper evidence: it was impossible to make modifications to the audit records through the application, and direct inspection of the database confirmed that no audit row had been altered throughout the entire test period.</w:t>
      </w:r>
    </w:p>
    <w:p w:rsidR="00000000" w:rsidDel="00000000" w:rsidP="00000000" w:rsidRDefault="00000000" w:rsidRPr="00000000" w14:paraId="000002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show that the platform does not simply facilitate collaboration but does so within an auditable governance structure which safeguards the final decision-making authority of the primary physician.</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pStyle w:val="Heading2"/>
        <w:rPr/>
      </w:pPr>
      <w:bookmarkStart w:colFirst="0" w:colLast="0" w:name="_k2dh1llvqyab" w:id="94"/>
      <w:bookmarkEnd w:id="94"/>
      <w:r w:rsidDel="00000000" w:rsidR="00000000" w:rsidRPr="00000000">
        <w:rPr>
          <w:rtl w:val="0"/>
        </w:rPr>
        <w:t xml:space="preserve">4.4.6 A summary of the test findings</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programme carried out for testing has shown that the prototype fully satisfies its functional requirements, operates within acceptable limits whether using a broadband connection or a constrained one, enables efficient completion of tasks with a low error rate, and applies the role and governance rules at the server level to each request. The one noticeable limitation identified is the cold-start delay associated with the free tier, a characteristic of the hosting tier rather than of the application itself, and this delay vanishes when an always-on hosting plan is used.</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pStyle w:val="Title"/>
        <w:jc w:val="center"/>
        <w:rPr>
          <w:rFonts w:ascii="Times New Roman" w:cs="Times New Roman" w:eastAsia="Times New Roman" w:hAnsi="Times New Roman"/>
          <w:b w:val="1"/>
          <w:bCs w:val="1"/>
        </w:rPr>
      </w:pPr>
      <w:bookmarkStart w:colFirst="0" w:colLast="0" w:name="_cy7p1nq3dxh1" w:id="95"/>
      <w:bookmarkEnd w:id="95"/>
      <w:r w:rsidDel="00000000" w:rsidR="00000000" w:rsidRPr="00000000">
        <w:rPr>
          <w:rFonts w:ascii="Times New Roman" w:cs="Times New Roman" w:eastAsia="Times New Roman" w:hAnsi="Times New Roman"/>
          <w:b w:val="1"/>
          <w:bCs w:val="1"/>
          <w:rtl w:val="0"/>
        </w:rPr>
        <w:t xml:space="preserve">CHAPTER FIVE</w:t>
      </w:r>
    </w:p>
    <w:p w:rsidR="00000000" w:rsidDel="00000000" w:rsidP="00000000" w:rsidRDefault="00000000" w:rsidRPr="00000000" w14:paraId="00000263">
      <w:pPr>
        <w:pStyle w:val="Title"/>
        <w:jc w:val="center"/>
        <w:rPr>
          <w:rFonts w:ascii="Times New Roman" w:cs="Times New Roman" w:eastAsia="Times New Roman" w:hAnsi="Times New Roman"/>
          <w:b w:val="1"/>
          <w:bCs w:val="1"/>
        </w:rPr>
      </w:pPr>
      <w:bookmarkStart w:colFirst="0" w:colLast="0" w:name="_6ubhjn5c761h" w:id="96"/>
      <w:bookmarkEnd w:id="96"/>
      <w:r w:rsidDel="00000000" w:rsidR="00000000" w:rsidRPr="00000000">
        <w:rPr>
          <w:rFonts w:ascii="Times New Roman" w:cs="Times New Roman" w:eastAsia="Times New Roman" w:hAnsi="Times New Roman"/>
          <w:b w:val="1"/>
          <w:bCs w:val="1"/>
          <w:rtl w:val="0"/>
        </w:rPr>
        <w:t xml:space="preserve">SUMMARY</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pStyle w:val="Heading1"/>
        <w:rPr/>
      </w:pPr>
      <w:bookmarkStart w:colFirst="0" w:colLast="0" w:name="_adt2yxe0cptk" w:id="97"/>
      <w:bookmarkEnd w:id="97"/>
      <w:r w:rsidDel="00000000" w:rsidR="00000000" w:rsidRPr="00000000">
        <w:rPr>
          <w:rtl w:val="0"/>
        </w:rPr>
        <w:t xml:space="preserve">5.0 Introduction</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is brought to an end in this chapter, which begins with the system that has been implemented and tested and then goes on to reflect on the project's achievements, the difficulties met in reaching those achievements, and the implications that arise from it. The chapter summarises the degree to which the aim and objectives of the study have been achieved, records the technical and structural problems encountered during development and the way in which they were dealt with, gives recommendations for future work, and finishes with a statement regarding the study's significance.</w:t>
      </w:r>
    </w:p>
    <w:p w:rsidR="00000000" w:rsidDel="00000000" w:rsidP="00000000" w:rsidRDefault="00000000" w:rsidRPr="00000000" w14:paraId="00000267">
      <w:pPr>
        <w:pStyle w:val="Heading1"/>
        <w:rPr/>
      </w:pPr>
      <w:bookmarkStart w:colFirst="0" w:colLast="0" w:name="_g8h21xhq8n46" w:id="98"/>
      <w:bookmarkEnd w:id="98"/>
      <w:r w:rsidDel="00000000" w:rsidR="00000000" w:rsidRPr="00000000">
        <w:rPr>
          <w:rtl w:val="0"/>
        </w:rPr>
        <w:t xml:space="preserve">5.1 Summary</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was aimed at producing a working web-based prototype which would show that it is technically feasible to have structured collaboration between medical specialists who are located in different places in order to formulate a clinical hypothesis in complicated cases, without undermining the final decision-making authority of the attending physician. The aim has been fully achieved and all of the four objectives established for the study have been met.</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secure web application was first developed and then put into use on a free-tier cloud hosting service at no direct cost for infrastructure. The application includes user authentication based on passwords, with the users' credentials being stored using salted hashes, transmits all traffic entirely via HTTPS together with secure cookie settings, and implements role-based access control to separate the roles of Primary Physician and Specialist.</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an integrated case-collaboration workspace was set up, bringing together three features which the existing systems provide only separately: a thread for asynchronous case discussions, a structured interface for submitting hypotheses that records the diagnosis, the reasons for it, and the supporting evidence, and a differential diagnosis ranking display by means of which the primary physician incorporates the advice of specialists into an ordered diagnostic summary. All of these function as part of a single, continuous workflow within the same interface.</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a clinical governance framework was put into effect rather than just being described. When users reach the point at which a decision has to be made, the platform makes it clear to them of its advisory role; final decision-making power remains with the primary physician's interface, the server refuses any attempt by anyone in any other role to record a decision, and every action—including those which are denied—is entered into an append-only audit log. Decision authority is thus protected by the workings of the system and not just by its documentation.</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prototype was subjected to controlled testing using predefined mock clinical scenarios. The functional tests proved that all the requirements had been met, including the important denial tests which showed that specialist accounts are not able to create cases, change rankings, or record decisions. Performance testing showed response times that were below one second for all operations when using broadband and an average of 2.3 seconds when using a throttled 3G connection, while usability testing involving 60 task executions yielded an overall error rate of 3.3%, none of which resulted in a breach of governance or in the loss of data. The study thus shows not only that such a platform can be built at no cost, but also that it can be built in such a way that it behaves correctly both under adverse and normal usage.</w:t>
      </w: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1"/>
        <w:rPr/>
      </w:pPr>
      <w:bookmarkStart w:colFirst="0" w:colLast="0" w:name="_ok2cy8d5idkc" w:id="99"/>
      <w:bookmarkEnd w:id="99"/>
      <w:r w:rsidDel="00000000" w:rsidR="00000000" w:rsidRPr="00000000">
        <w:rPr>
          <w:rtl w:val="0"/>
        </w:rPr>
        <w:t xml:space="preserve">5.2 Problems Encountered</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problems arose as the work proceeded, and the ways in which they were solved determined the final system.</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set of problems were related to the free-tier cloud deployment. Since application instances on the free tier go to sleep after a period of inactivity, the first request following this idle period took several seconds; this was solved by reducing the number of database queries per page so that the cold starts could complete as quickly as the tier permitted, and the behaviour was monitored, reported on, and regarded as a characteristic of the hosting tier rather than of the application. The free-tier database also imposes a strict limit on the number of connections, which meant that connection pooling had to be set up with care to avoid the application using up its allowance when used concurrently. Because static assets had to be served within the same quota constraints, the interface was intentionally kept simple, without incorporating any heavy client-side framework.</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issue was of a structural rather than a technical nature—namely, the need to define clear clinical governance boundaries that can be enforced by software. The straightforward method—hiding buttons that a given role should not have access to—was merely cosmetic and offered no real security since any user could send a specially constructed request directly to the server. The proper solution involved the introduction of an authorization layer which, for each request, had to assess the actor's role, the actor's relationship to the particular case, and the status of the case, and this assessment must not be duplicated anywhere and must not be omittable anywhere. The problem was solved by implementing this as a single gateway layer that all requests had to go through, even though this meant extra design work had to be done at the outset.</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issue was that of asynchronous communication. Since the participants take part from different time zones and have intermittent connections, the system cannot assume that any two users are online at the same time and it therefore becomes likely that partial or duplicate submissions will occur. This problem was solved by making all operations which changed the state idempotent and subject to server verification, by arranging the discussion thread in a strictly chronological order using server-side timestamps, and by confirming each submission with an updated page state, in such a way that if a user re-submitted their entry over an unreliable connection they would never end up with duplicate hypotheses or notes.</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and self-imposed limitation influenced all the other aspects: the intentional omission of actual patient data and real clinical participants. This eliminated any potential privacy or ethical issues, but it also meant that the evidence used to evaluate the system, although thorough for a prototype, had to be indirect, the system was tested against hypothetical cases carried out by testers and not against actual clinical decisions.</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pStyle w:val="Heading1"/>
        <w:rPr/>
      </w:pPr>
      <w:bookmarkStart w:colFirst="0" w:colLast="0" w:name="_ffeysux9064u" w:id="100"/>
      <w:bookmarkEnd w:id="100"/>
      <w:r w:rsidDel="00000000" w:rsidR="00000000" w:rsidRPr="00000000">
        <w:rPr>
          <w:rtl w:val="0"/>
        </w:rPr>
        <w:t xml:space="preserve">5.3 Recommendations</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has proven its viability, and the next stages will take the project towards deployability and clinical value.</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should be to incorporate formal healthcare regulatory compliance; although the prototype includes robust technical protections it does not make any claims regarding compliance with regulatory frameworks such as HIPAA in the United States or GDPR in Europe. To achieve compliance there would need to be, among other things, a formal risk assessment, data-processing agreements with all the infrastructure providers, clearly defined data-retention and breach-notification procedures, and alongside the technical safeguards that are already in place documented administrative safeguards.</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assessment should extend from simulated scenarios to actual clinical trials. A pilot programme in which training primary care doctors and specialists use the platform on anonymised or synthetic but realistic cases—and later on real cases with the necessary ethical approval—would allow the evaluation of properties which can never be determined by controlled testing, such as whether the specialists actually take part, whether they place trust in the advisory governance model, and whether the practice of ranking hypotheses leads to changes in diagnostic outcomes.</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identity verification should be strengthened. Although the prototype takes role declarations at face value since it has the necessary scope, a production system must verify professional qualifications and institutional affiliation by referring to licensure databases or using institutional single sign-on, since the integrity of the entire governance model depends on knowing that a user is actually the clinician they say they are.</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architecture should be developed on purpose: by including an API layer it is possible to support native mobile clients, which account for the majority of access in low-resource environments; by ensuring offline operation with synchronisation the system can cater to users on unreliable networks; and by providing real-time updates to the discussion thread and the ranking view the time between updates can be reduced when infrastructure beyond the free tier becomes available. Each of these improvements is an enhancement of the core that has already been validated, not a redesign of it.</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formal threat modelling and independent penetration testing should come before any deployment that involves real patient data in order that the security of the system may be established on the basis of evidence rather than merely assumed from its design.</w:t>
      </w:r>
      <w:r w:rsidDel="00000000" w:rsidR="00000000" w:rsidRPr="00000000">
        <w:br w:type="page"/>
      </w: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Style w:val="Heading1"/>
        <w:rPr/>
      </w:pPr>
      <w:bookmarkStart w:colFirst="0" w:colLast="0" w:name="_yr4jmkum7bed" w:id="101"/>
      <w:bookmarkEnd w:id="101"/>
      <w:r w:rsidDel="00000000" w:rsidR="00000000" w:rsidRPr="00000000">
        <w:rPr>
          <w:rtl w:val="0"/>
        </w:rPr>
        <w:t xml:space="preserve">5.4 Conclusion</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study was to find out whether a secure cloud-based system could support structured, multi-specialist clinical reasoning when dealing with complex cases, the system being one that any under-resourced provider could afford without in any way undermining the authority of the physician who is ultimately responsible for making the decision. The prototype that was put into practice and tested gives a positive answer to that question. It demonstrates that the obstacle to such a system is not cost, as the whole system operates on free-tier infrastructure; nor is it technological, since the necessary security and collaboration features are available through well-established open-tools. The remaining barrier is governance – that is, the principle of separating advice from decision – and this study proves that governance can be implemented in software: it can be enforced on each request, displayed in every interface, and recorded in an audit trail which cannot be altered.</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individuals suffering from rare or multi-system disorders, the importance lies in the fact that the lengthy diagnostic journey they go through is mainly due to a lack of coordination, and this type of platform deals with that problem directly. It offers primary doctors in underserved areas a reliable and informative means of accessing specialist knowledge. For the area of clinical decision support, it shows a way of enhancing human expertise through collaboration rather than replacing it by acting on its own. Although the prototype is just the starting point and not the final stage, it is a practical one — and it proves, based on evidence not speculation, that secure, regulated, global collaboration among multiple specialists in the management of complex clinical cases is technically possible today.</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 Details of the hypothetical clinical cases used for testing: three fictitious cases (presenting with a multi-system fever and rash; chronic microcytic anaemia; and episodic unresponsiveness in children), together with the specialties involved and the hypotheses submitted in table form.</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B — an excerpt from the executed functional test log (entries FT04, FT05, FT06, FT08, FT09, and FT10) which shows the action, the account role, the observed outcome, and the relevant audit entry for each case.</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C — User Interface Screenshots: six captioned placeholder images (for registration, the dashboard, case creation, the workspace, the decision modal, and the audit trail) that are ready for your actual screenshots.</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