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G1.txt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0 1 0 0 0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1 0 1 1 0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0 1 0 0 0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0 1 0 0 1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0 0 0 1 0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3190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&lt;operation number(3 or 4)&gt; &lt;file name&gt; &lt;starting vertex&gt;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DFS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G1.txt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G1.txt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1 3 5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G1.txt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1 3 5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Order of vertices do not matter here. A node should appear in the output if and only if it becomes a leaf node when the tree is rooted at the starting vertex.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BFS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G1.txt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G1.txt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2 1 3 4 5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Order of vertices do not matter for vertices at the same distance from the starting vertex.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example 1, nodes 3 and 4 are both at a distance of 2 from node 1. So, 1 2 4 3 5 is also a correct output. However, any other output apart from these 2 will be incorrect.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Similarly in example 2, the following outputs will be correct as well: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2 1 4 3 5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2 3 1 4 5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2 3 4 1 5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2 4 1 3 5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2 4 3 1 5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Any other output apart from these 6 will be incorrect.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G2.txt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0 1 0 1 0 0 0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1 0 0 0 1 0 1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0 0 0 1 0 0 0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1 0 1 0 0 0 0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0 1 0 0 0 0 0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0 0 0 0 0 0 1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0 1 0 0 0 1 0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21446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14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G2.txt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1 4 2 3 5 7 8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this example, while processing the nodes at depth 1 (i.e. nodes 2 and 4) node 3(child of node 4) should be added to the queue by one thread, and nodes 5 and 7(children of node 2) should be added by a separate thread.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 each level, you should use a separate thread for processing each node at that level.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